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4FC" w:rsidRPr="00121C7E" w:rsidRDefault="00763BA3" w:rsidP="008A54FC">
      <w:pPr>
        <w:rPr>
          <w:b/>
          <w:color w:val="FFFFFF"/>
          <w:szCs w:val="20"/>
          <w:lang w:val="en-GB"/>
        </w:rPr>
      </w:pPr>
      <w:r w:rsidRPr="00121C7E">
        <w:rPr>
          <w:b/>
          <w:color w:val="FFFFFF"/>
          <w:szCs w:val="20"/>
          <w:lang w:val="en-GB"/>
        </w:rPr>
        <w:t>E OF CONTENTS</w:t>
      </w:r>
    </w:p>
    <w:p w:rsidR="00067793" w:rsidRPr="00121C7E" w:rsidRDefault="00067793" w:rsidP="008A54FC">
      <w:pPr>
        <w:rPr>
          <w:b/>
          <w:color w:val="FFFFFF"/>
          <w:szCs w:val="20"/>
          <w:lang w:val="en-GB"/>
        </w:rPr>
      </w:pPr>
    </w:p>
    <w:p w:rsidR="00B25463" w:rsidRPr="00121C7E" w:rsidRDefault="00B25463" w:rsidP="0029448B">
      <w:pPr>
        <w:rPr>
          <w:b/>
          <w:color w:val="C00000"/>
          <w:lang w:val="en-GB"/>
        </w:rPr>
      </w:pPr>
      <w:r w:rsidRPr="00121C7E">
        <w:rPr>
          <w:b/>
          <w:color w:val="C00000"/>
          <w:lang w:val="en-GB"/>
        </w:rPr>
        <w:t xml:space="preserve">DRAFT CEPT BRIEF ON AGENDA ITEM </w:t>
      </w:r>
      <w:r w:rsidR="00882103">
        <w:rPr>
          <w:b/>
          <w:color w:val="C00000"/>
          <w:lang w:val="en-GB"/>
        </w:rPr>
        <w:t>1.4 (WRC-15)</w:t>
      </w:r>
      <w:r w:rsidRPr="00121C7E">
        <w:rPr>
          <w:b/>
          <w:color w:val="C00000"/>
          <w:lang w:val="en-GB"/>
        </w:rPr>
        <w:t xml:space="preserve"> </w:t>
      </w:r>
    </w:p>
    <w:p w:rsidR="0029448B" w:rsidRPr="00121C7E" w:rsidRDefault="0029448B" w:rsidP="0029448B">
      <w:pPr>
        <w:rPr>
          <w:lang w:val="en-GB"/>
        </w:rPr>
      </w:pPr>
    </w:p>
    <w:p w:rsidR="0029448B" w:rsidRPr="00882103" w:rsidRDefault="00882103" w:rsidP="0029448B">
      <w:pPr>
        <w:pStyle w:val="ECCParagraph"/>
        <w:rPr>
          <w:b/>
        </w:rPr>
      </w:pPr>
      <w:r>
        <w:t>1.4</w:t>
      </w:r>
      <w:r>
        <w:tab/>
      </w:r>
      <w:r w:rsidRPr="00882103">
        <w:t xml:space="preserve">to consider possible new allocation to the amateur service on a secondary basis within the band        5 250-5 450 kHz in accordance with Resolution </w:t>
      </w:r>
      <w:r w:rsidRPr="00882103">
        <w:rPr>
          <w:b/>
        </w:rPr>
        <w:t>649 (WRC-12)</w:t>
      </w:r>
    </w:p>
    <w:p w:rsidR="00B25463" w:rsidRPr="00121C7E" w:rsidRDefault="0029448B" w:rsidP="0029448B">
      <w:pPr>
        <w:pStyle w:val="Heading1"/>
      </w:pPr>
      <w:r w:rsidRPr="00121C7E">
        <w:t>ISSUE</w:t>
      </w:r>
    </w:p>
    <w:p w:rsidR="00882103" w:rsidRDefault="00882103" w:rsidP="00882103">
      <w:pPr>
        <w:pStyle w:val="ECCParagraph"/>
      </w:pPr>
      <w:r w:rsidRPr="00882103">
        <w:rPr>
          <w:b/>
        </w:rPr>
        <w:t>Resolution 649 (WRC-12)</w:t>
      </w:r>
      <w:r>
        <w:t xml:space="preserve"> invites WRC-15 to consider, based on the results of the ITU-R studies, the possibility of making an allocation of an appropriate amount of spectrum, not necessarily contiguous, to the amateur service on a secondary basis within the band 5 250-5 450 kHz. </w:t>
      </w:r>
    </w:p>
    <w:p w:rsidR="00005CA4" w:rsidRDefault="00882103" w:rsidP="00882103">
      <w:pPr>
        <w:pStyle w:val="ECCParagraph"/>
      </w:pPr>
      <w:r>
        <w:t>CEPT has identified the following elements, relevant for this agenda item:</w:t>
      </w:r>
    </w:p>
    <w:p w:rsidR="00882103" w:rsidRDefault="00882103" w:rsidP="00882103">
      <w:pPr>
        <w:pStyle w:val="ECCParBulleted"/>
      </w:pPr>
      <w:r w:rsidRPr="00882103">
        <w:t>to study spectrum requirements for a secondary allocation to the amateur service within the band 5 250-5 450 kHz;</w:t>
      </w:r>
    </w:p>
    <w:p w:rsidR="00882103" w:rsidRPr="00882103" w:rsidRDefault="00882103" w:rsidP="00882103">
      <w:pPr>
        <w:pStyle w:val="ECCParBulleted"/>
      </w:pPr>
      <w:r w:rsidRPr="00882103">
        <w:t xml:space="preserve">to conduct sharing studies on the impact to other services currently allocated in the band referred to in </w:t>
      </w:r>
      <w:r w:rsidRPr="00882103">
        <w:rPr>
          <w:i/>
        </w:rPr>
        <w:t>invites ITU R</w:t>
      </w:r>
      <w:r w:rsidRPr="00882103">
        <w:t xml:space="preserve"> 1 and in the adjacent bands;</w:t>
      </w:r>
    </w:p>
    <w:p w:rsidR="00005CA4" w:rsidRPr="00121C7E" w:rsidRDefault="00005CA4" w:rsidP="00005CA4">
      <w:pPr>
        <w:pStyle w:val="Heading1"/>
      </w:pPr>
      <w:r w:rsidRPr="00121C7E">
        <w:t xml:space="preserve">Preliminary CEPT position </w:t>
      </w:r>
    </w:p>
    <w:p w:rsidR="009744B4" w:rsidRPr="00121C7E" w:rsidRDefault="00C261B8" w:rsidP="009744B4">
      <w:pPr>
        <w:pStyle w:val="ECCParagraph"/>
      </w:pPr>
      <w:r>
        <w:t xml:space="preserve">TBD </w:t>
      </w:r>
    </w:p>
    <w:p w:rsidR="009744B4" w:rsidRPr="00121C7E" w:rsidRDefault="009744B4" w:rsidP="009744B4">
      <w:pPr>
        <w:pStyle w:val="Heading1"/>
      </w:pPr>
      <w:r w:rsidRPr="00121C7E">
        <w:t xml:space="preserve">Background </w:t>
      </w:r>
    </w:p>
    <w:p w:rsidR="00C261B8" w:rsidRPr="00DC2F10" w:rsidRDefault="00C261B8" w:rsidP="00C261B8">
      <w:pPr>
        <w:pStyle w:val="ECCParagraph"/>
        <w:rPr>
          <w:rFonts w:cs="Arial"/>
          <w:szCs w:val="20"/>
        </w:rPr>
      </w:pPr>
      <w:bookmarkStart w:id="0" w:name="_GoBack"/>
      <w:bookmarkEnd w:id="0"/>
      <w:r w:rsidRPr="00DC2F10">
        <w:rPr>
          <w:rFonts w:cs="Arial"/>
          <w:b/>
          <w:szCs w:val="20"/>
          <w:lang w:val="en-US"/>
        </w:rPr>
        <w:t>WRC-12</w:t>
      </w:r>
      <w:r w:rsidRPr="00DC2F10">
        <w:rPr>
          <w:rFonts w:cs="Arial"/>
          <w:szCs w:val="20"/>
          <w:lang w:val="en-US"/>
        </w:rPr>
        <w:t xml:space="preserve"> adopted Agenda item 1.4 for </w:t>
      </w:r>
      <w:r w:rsidRPr="00DC2F10">
        <w:rPr>
          <w:rFonts w:cs="Arial"/>
          <w:b/>
          <w:szCs w:val="20"/>
          <w:lang w:val="en-US"/>
        </w:rPr>
        <w:t>WRC-15</w:t>
      </w:r>
      <w:r w:rsidRPr="00DC2F10">
        <w:rPr>
          <w:rFonts w:cs="Arial"/>
          <w:szCs w:val="20"/>
          <w:lang w:val="en-US"/>
        </w:rPr>
        <w:t>, to consider the possibility of making an allocation of an appropriate amount of spectrum, not necessarily contiguous, to the amateur service on a secondary basis within the band 5 250-5 450 kHz</w:t>
      </w:r>
      <w:r w:rsidRPr="00DC2F10">
        <w:rPr>
          <w:rFonts w:cs="Arial"/>
          <w:szCs w:val="20"/>
        </w:rPr>
        <w:t xml:space="preserve">. </w:t>
      </w:r>
    </w:p>
    <w:p w:rsidR="00C261B8" w:rsidRPr="00DC2F10" w:rsidRDefault="00C261B8" w:rsidP="00C261B8">
      <w:pPr>
        <w:pStyle w:val="ECCParBulleted"/>
        <w:numPr>
          <w:ilvl w:val="0"/>
          <w:numId w:val="0"/>
        </w:numPr>
        <w:rPr>
          <w:rFonts w:cs="Arial"/>
          <w:szCs w:val="20"/>
          <w:lang w:val="en-US"/>
        </w:rPr>
      </w:pPr>
      <w:r w:rsidRPr="00DC2F10">
        <w:rPr>
          <w:rFonts w:cs="Arial"/>
          <w:szCs w:val="20"/>
          <w:lang w:val="en-US"/>
        </w:rPr>
        <w:t xml:space="preserve">This part of the spectrum is interesting to radio amateurs because it bridges the propagation gap between 3.8 and 7.0 </w:t>
      </w:r>
      <w:proofErr w:type="spellStart"/>
      <w:r w:rsidRPr="00DC2F10">
        <w:rPr>
          <w:rFonts w:cs="Arial"/>
          <w:szCs w:val="20"/>
          <w:lang w:val="en-US"/>
        </w:rPr>
        <w:t>MHz</w:t>
      </w:r>
      <w:r>
        <w:rPr>
          <w:rFonts w:cs="Arial"/>
          <w:szCs w:val="20"/>
          <w:lang w:val="en-US"/>
        </w:rPr>
        <w:t>.</w:t>
      </w:r>
      <w:proofErr w:type="spellEnd"/>
      <w:r w:rsidRPr="00DC2F10">
        <w:rPr>
          <w:rFonts w:cs="Arial"/>
          <w:szCs w:val="20"/>
          <w:lang w:val="en-US"/>
        </w:rPr>
        <w:t xml:space="preserve"> Particularly at higher latitudes, there are many times when the maximum usable frequency (MUF) is below 7.0 MHz, but is too far above the next lowest amateur frequency band 3.5 – 3.8 MHz for communication to be supported in that band, using typical amateur antennas and power levels. As amateur communication increasingly uses digital rather than analogue modes of emission, </w:t>
      </w:r>
      <w:proofErr w:type="spellStart"/>
      <w:r w:rsidRPr="00DC2F10">
        <w:rPr>
          <w:rFonts w:cs="Arial"/>
          <w:szCs w:val="20"/>
          <w:lang w:val="en-US"/>
        </w:rPr>
        <w:t>intersymbol</w:t>
      </w:r>
      <w:proofErr w:type="spellEnd"/>
      <w:r w:rsidRPr="00DC2F10">
        <w:rPr>
          <w:rFonts w:cs="Arial"/>
          <w:szCs w:val="20"/>
          <w:lang w:val="en-US"/>
        </w:rPr>
        <w:t xml:space="preserve"> distortion caused by multipath propagation becomes a more important factor, requiring an operating frequency as near as possible to the MUF.</w:t>
      </w:r>
    </w:p>
    <w:p w:rsidR="00C261B8" w:rsidRDefault="00C261B8" w:rsidP="00C261B8">
      <w:pPr>
        <w:jc w:val="both"/>
        <w:rPr>
          <w:rFonts w:cs="Arial"/>
          <w:szCs w:val="20"/>
        </w:rPr>
      </w:pPr>
    </w:p>
    <w:p w:rsidR="00C261B8" w:rsidRPr="0035684C" w:rsidRDefault="00C261B8" w:rsidP="00C261B8">
      <w:pPr>
        <w:jc w:val="both"/>
        <w:rPr>
          <w:rFonts w:cs="Arial"/>
          <w:szCs w:val="20"/>
        </w:rPr>
      </w:pPr>
      <w:r w:rsidRPr="0035684C">
        <w:rPr>
          <w:rFonts w:cs="Arial"/>
          <w:szCs w:val="20"/>
        </w:rPr>
        <w:t>Propagation characteristics of this frequency band.</w:t>
      </w:r>
    </w:p>
    <w:p w:rsidR="00C261B8" w:rsidRDefault="00C261B8" w:rsidP="00C261B8">
      <w:pPr>
        <w:jc w:val="both"/>
        <w:rPr>
          <w:rFonts w:cs="Arial"/>
          <w:szCs w:val="20"/>
        </w:rPr>
      </w:pPr>
      <w:r w:rsidRPr="0035684C">
        <w:rPr>
          <w:rFonts w:cs="Arial"/>
          <w:szCs w:val="20"/>
        </w:rPr>
        <w:t>It is recognized that sky-wave propagation of as much as 10,000</w:t>
      </w:r>
      <w:r>
        <w:rPr>
          <w:rFonts w:cs="Arial"/>
          <w:szCs w:val="20"/>
        </w:rPr>
        <w:t xml:space="preserve"> </w:t>
      </w:r>
      <w:r w:rsidRPr="0035684C">
        <w:rPr>
          <w:rFonts w:cs="Arial"/>
          <w:szCs w:val="20"/>
        </w:rPr>
        <w:t>km is possible on these frequencies, as per R</w:t>
      </w:r>
      <w:r>
        <w:rPr>
          <w:rFonts w:cs="Arial"/>
          <w:szCs w:val="20"/>
        </w:rPr>
        <w:t xml:space="preserve">ecommendation ITU-R F.1795. Practical considerations </w:t>
      </w:r>
      <w:r w:rsidRPr="0035684C">
        <w:rPr>
          <w:rFonts w:cs="Arial"/>
          <w:szCs w:val="20"/>
        </w:rPr>
        <w:t>of operating</w:t>
      </w:r>
      <w:r>
        <w:rPr>
          <w:rFonts w:cs="Arial"/>
          <w:szCs w:val="20"/>
        </w:rPr>
        <w:t xml:space="preserve"> a link over such ranges depend</w:t>
      </w:r>
      <w:r w:rsidRPr="0035684C">
        <w:rPr>
          <w:rFonts w:cs="Arial"/>
          <w:szCs w:val="20"/>
        </w:rPr>
        <w:t xml:space="preserve"> on atmospheric noise and interference caused by stations that may be deployed several thousand kilometers from the given radio communication link.</w:t>
      </w:r>
    </w:p>
    <w:p w:rsidR="00C261B8" w:rsidRPr="00DC2F10" w:rsidRDefault="00C261B8" w:rsidP="00C261B8">
      <w:pPr>
        <w:pStyle w:val="ECCParagraph"/>
        <w:rPr>
          <w:rFonts w:cs="Arial"/>
          <w:szCs w:val="20"/>
        </w:rPr>
      </w:pPr>
      <w:r>
        <w:br/>
      </w:r>
      <w:proofErr w:type="spellStart"/>
      <w:r w:rsidRPr="00C261B8">
        <w:rPr>
          <w:i/>
        </w:rPr>
        <w:t>Editors</w:t>
      </w:r>
      <w:proofErr w:type="spellEnd"/>
      <w:r w:rsidRPr="00C261B8">
        <w:rPr>
          <w:i/>
        </w:rPr>
        <w:t xml:space="preserve"> note: one administration provided preliminary results of compatibility studies between proposed amateur stations and systems in the fixed service. </w:t>
      </w:r>
    </w:p>
    <w:p w:rsidR="00C261B8" w:rsidRPr="00DC2F10" w:rsidRDefault="00C261B8" w:rsidP="00C261B8">
      <w:pPr>
        <w:rPr>
          <w:rFonts w:cs="Arial"/>
          <w:szCs w:val="20"/>
        </w:rPr>
      </w:pPr>
      <w:r w:rsidRPr="00DC2F10">
        <w:rPr>
          <w:rFonts w:cs="Arial"/>
          <w:szCs w:val="20"/>
        </w:rPr>
        <w:t xml:space="preserve">Regulatory and procedural considerations. </w:t>
      </w:r>
    </w:p>
    <w:p w:rsidR="00C261B8" w:rsidRPr="00DC2F10" w:rsidRDefault="00C261B8" w:rsidP="00C261B8">
      <w:pPr>
        <w:rPr>
          <w:rFonts w:cs="Arial"/>
          <w:szCs w:val="20"/>
        </w:rPr>
      </w:pPr>
      <w:r w:rsidRPr="00DC2F10">
        <w:rPr>
          <w:rFonts w:cs="Arial"/>
          <w:iCs/>
          <w:szCs w:val="20"/>
        </w:rPr>
        <w:t xml:space="preserve">For reference, the applicable portion of the Table of Frequency Allocations, including the modifications made at WRC-12, is provided below.  </w:t>
      </w:r>
    </w:p>
    <w:p w:rsidR="00C261B8" w:rsidRDefault="00C261B8" w:rsidP="005748B5">
      <w:pPr>
        <w:pStyle w:val="ECCParagraph"/>
        <w:jc w:val="center"/>
      </w:pPr>
      <w:r>
        <w:br w:type="page"/>
      </w:r>
    </w:p>
    <w:p w:rsidR="006819A8" w:rsidRDefault="006819A8" w:rsidP="006819A8">
      <w:pPr>
        <w:pStyle w:val="Caption"/>
        <w:rPr>
          <w:color w:val="auto"/>
        </w:rPr>
      </w:pPr>
    </w:p>
    <w:p w:rsidR="00FA3E89" w:rsidRDefault="00FA3E89" w:rsidP="00FA3E89">
      <w:pPr>
        <w:spacing w:line="360" w:lineRule="auto"/>
        <w:jc w:val="center"/>
        <w:rPr>
          <w:rStyle w:val="Artdef"/>
          <w:rFonts w:cs="Arial"/>
          <w:color w:val="000000"/>
          <w:szCs w:val="20"/>
          <w:lang w:val="en-AU"/>
        </w:rPr>
      </w:pPr>
      <w:r>
        <w:rPr>
          <w:rStyle w:val="Artdef"/>
          <w:rFonts w:cs="Arial"/>
          <w:color w:val="000000"/>
          <w:szCs w:val="20"/>
          <w:lang w:val="en-AU"/>
        </w:rPr>
        <w:t>5 060-5 680 kHz</w:t>
      </w:r>
    </w:p>
    <w:tbl>
      <w:tblPr>
        <w:tblW w:w="9300" w:type="dxa"/>
        <w:jc w:val="center"/>
        <w:tblLayout w:type="fixed"/>
        <w:tblCellMar>
          <w:left w:w="107" w:type="dxa"/>
          <w:right w:w="107" w:type="dxa"/>
        </w:tblCellMar>
        <w:tblLook w:val="00A0" w:firstRow="1" w:lastRow="0" w:firstColumn="1" w:lastColumn="0" w:noHBand="0" w:noVBand="0"/>
      </w:tblPr>
      <w:tblGrid>
        <w:gridCol w:w="3100"/>
        <w:gridCol w:w="3100"/>
        <w:gridCol w:w="3100"/>
      </w:tblGrid>
      <w:tr w:rsidR="00FA3E89" w:rsidTr="00FA3E89">
        <w:trPr>
          <w:cantSplit/>
          <w:jc w:val="center"/>
        </w:trPr>
        <w:tc>
          <w:tcPr>
            <w:tcW w:w="9300" w:type="dxa"/>
            <w:gridSpan w:val="3"/>
            <w:tcBorders>
              <w:top w:val="single" w:sz="2" w:space="0" w:color="auto"/>
              <w:left w:val="single" w:sz="2" w:space="0" w:color="auto"/>
              <w:bottom w:val="single" w:sz="2" w:space="0" w:color="auto"/>
              <w:right w:val="single" w:sz="2" w:space="0" w:color="auto"/>
            </w:tcBorders>
            <w:hideMark/>
          </w:tcPr>
          <w:p w:rsidR="00FA3E89" w:rsidRDefault="00FA3E89">
            <w:pPr>
              <w:pStyle w:val="Tablehead"/>
              <w:spacing w:line="200" w:lineRule="exact"/>
              <w:rPr>
                <w:rFonts w:ascii="Arial" w:hAnsi="Arial" w:cs="Arial"/>
                <w:color w:val="000000"/>
                <w:lang w:val="en-AU"/>
              </w:rPr>
            </w:pPr>
            <w:r>
              <w:rPr>
                <w:rFonts w:ascii="Arial" w:hAnsi="Arial" w:cs="Arial"/>
                <w:color w:val="000000"/>
                <w:lang w:val="en-AU"/>
              </w:rPr>
              <w:t>Allocation to services</w:t>
            </w:r>
          </w:p>
        </w:tc>
      </w:tr>
      <w:tr w:rsidR="00FA3E89" w:rsidTr="00FA3E89">
        <w:trPr>
          <w:cantSplit/>
          <w:jc w:val="center"/>
        </w:trPr>
        <w:tc>
          <w:tcPr>
            <w:tcW w:w="3100" w:type="dxa"/>
            <w:tcBorders>
              <w:top w:val="single" w:sz="2" w:space="0" w:color="auto"/>
              <w:left w:val="single" w:sz="2" w:space="0" w:color="auto"/>
              <w:bottom w:val="single" w:sz="2" w:space="0" w:color="auto"/>
              <w:right w:val="single" w:sz="6" w:space="0" w:color="auto"/>
            </w:tcBorders>
            <w:hideMark/>
          </w:tcPr>
          <w:p w:rsidR="00FA3E89" w:rsidRDefault="00FA3E89">
            <w:pPr>
              <w:pStyle w:val="Tablehead"/>
              <w:spacing w:line="200" w:lineRule="exact"/>
              <w:rPr>
                <w:rFonts w:ascii="Arial" w:hAnsi="Arial" w:cs="Arial"/>
                <w:color w:val="000000"/>
                <w:lang w:val="en-AU"/>
              </w:rPr>
            </w:pPr>
            <w:r>
              <w:rPr>
                <w:rFonts w:ascii="Arial" w:hAnsi="Arial" w:cs="Arial"/>
                <w:color w:val="000000"/>
                <w:lang w:val="en-AU"/>
              </w:rPr>
              <w:t>Region 1</w:t>
            </w:r>
          </w:p>
        </w:tc>
        <w:tc>
          <w:tcPr>
            <w:tcW w:w="3100" w:type="dxa"/>
            <w:tcBorders>
              <w:top w:val="single" w:sz="2" w:space="0" w:color="auto"/>
              <w:left w:val="single" w:sz="6" w:space="0" w:color="auto"/>
              <w:bottom w:val="single" w:sz="2" w:space="0" w:color="auto"/>
              <w:right w:val="single" w:sz="6" w:space="0" w:color="auto"/>
            </w:tcBorders>
            <w:hideMark/>
          </w:tcPr>
          <w:p w:rsidR="00FA3E89" w:rsidRDefault="00FA3E89">
            <w:pPr>
              <w:pStyle w:val="Tablehead"/>
              <w:spacing w:line="200" w:lineRule="exact"/>
              <w:rPr>
                <w:rFonts w:ascii="Arial" w:hAnsi="Arial" w:cs="Arial"/>
                <w:color w:val="000000"/>
                <w:lang w:val="en-AU"/>
              </w:rPr>
            </w:pPr>
            <w:r>
              <w:rPr>
                <w:rFonts w:ascii="Arial" w:hAnsi="Arial" w:cs="Arial"/>
                <w:color w:val="000000"/>
                <w:lang w:val="en-AU"/>
              </w:rPr>
              <w:t>Region 2</w:t>
            </w:r>
          </w:p>
        </w:tc>
        <w:tc>
          <w:tcPr>
            <w:tcW w:w="3100" w:type="dxa"/>
            <w:tcBorders>
              <w:top w:val="single" w:sz="2" w:space="0" w:color="auto"/>
              <w:left w:val="single" w:sz="6" w:space="0" w:color="auto"/>
              <w:bottom w:val="single" w:sz="2" w:space="0" w:color="auto"/>
              <w:right w:val="single" w:sz="2" w:space="0" w:color="auto"/>
            </w:tcBorders>
            <w:hideMark/>
          </w:tcPr>
          <w:p w:rsidR="00FA3E89" w:rsidRDefault="00FA3E89">
            <w:pPr>
              <w:pStyle w:val="Tablehead"/>
              <w:spacing w:line="200" w:lineRule="exact"/>
              <w:rPr>
                <w:rFonts w:ascii="Arial" w:hAnsi="Arial" w:cs="Arial"/>
                <w:color w:val="000000"/>
                <w:lang w:val="en-AU"/>
              </w:rPr>
            </w:pPr>
            <w:r>
              <w:rPr>
                <w:rFonts w:ascii="Arial" w:hAnsi="Arial" w:cs="Arial"/>
                <w:color w:val="000000"/>
                <w:lang w:val="en-AU"/>
              </w:rPr>
              <w:t>Region 3</w:t>
            </w:r>
          </w:p>
        </w:tc>
      </w:tr>
      <w:tr w:rsidR="00FA3E89" w:rsidTr="00FA3E89">
        <w:trPr>
          <w:cantSplit/>
          <w:jc w:val="center"/>
        </w:trPr>
        <w:tc>
          <w:tcPr>
            <w:tcW w:w="9300" w:type="dxa"/>
            <w:gridSpan w:val="3"/>
            <w:tcBorders>
              <w:top w:val="single" w:sz="2" w:space="0" w:color="auto"/>
              <w:left w:val="single" w:sz="2" w:space="0" w:color="auto"/>
              <w:bottom w:val="single" w:sz="2" w:space="0" w:color="auto"/>
              <w:right w:val="single" w:sz="2" w:space="0" w:color="auto"/>
            </w:tcBorders>
            <w:hideMark/>
          </w:tcPr>
          <w:p w:rsidR="00FA3E89" w:rsidRDefault="00FA3E89">
            <w:pPr>
              <w:pStyle w:val="TableTextS5"/>
              <w:spacing w:line="200" w:lineRule="exact"/>
              <w:rPr>
                <w:rFonts w:ascii="Arial" w:hAnsi="Arial" w:cs="Arial"/>
                <w:color w:val="000000"/>
                <w:lang w:val="fr-CH"/>
              </w:rPr>
            </w:pPr>
            <w:r>
              <w:rPr>
                <w:rStyle w:val="Tablefreq"/>
                <w:rFonts w:ascii="Arial" w:hAnsi="Arial" w:cs="Arial"/>
                <w:color w:val="000000"/>
                <w:lang w:val="fr-CH"/>
              </w:rPr>
              <w:t>5 060-5 250</w:t>
            </w:r>
            <w:r>
              <w:rPr>
                <w:rFonts w:ascii="Arial" w:hAnsi="Arial" w:cs="Arial"/>
                <w:color w:val="000000"/>
                <w:lang w:val="fr-CH"/>
              </w:rPr>
              <w:tab/>
              <w:t>FIXED</w:t>
            </w:r>
          </w:p>
          <w:p w:rsidR="00FA3E89" w:rsidRDefault="00FA3E89">
            <w:pPr>
              <w:pStyle w:val="TableTextS5"/>
              <w:spacing w:line="200" w:lineRule="exact"/>
              <w:rPr>
                <w:rFonts w:ascii="Arial" w:hAnsi="Arial" w:cs="Arial"/>
                <w:color w:val="000000"/>
                <w:lang w:val="fr-CH"/>
              </w:rPr>
            </w:pPr>
            <w:r>
              <w:rPr>
                <w:rFonts w:ascii="Arial" w:hAnsi="Arial" w:cs="Arial"/>
                <w:color w:val="000000"/>
                <w:lang w:val="fr-CH"/>
              </w:rPr>
              <w:tab/>
            </w:r>
            <w:r>
              <w:rPr>
                <w:rFonts w:ascii="Arial" w:hAnsi="Arial" w:cs="Arial"/>
                <w:color w:val="000000"/>
                <w:lang w:val="fr-CH"/>
              </w:rPr>
              <w:tab/>
            </w:r>
            <w:r>
              <w:rPr>
                <w:rFonts w:ascii="Arial" w:hAnsi="Arial" w:cs="Arial"/>
                <w:color w:val="000000"/>
                <w:lang w:val="fr-CH"/>
              </w:rPr>
              <w:tab/>
            </w:r>
            <w:r>
              <w:rPr>
                <w:rFonts w:ascii="Arial" w:hAnsi="Arial" w:cs="Arial"/>
                <w:color w:val="000000"/>
                <w:lang w:val="fr-CH"/>
              </w:rPr>
              <w:tab/>
              <w:t xml:space="preserve">Mobile </w:t>
            </w:r>
            <w:proofErr w:type="spellStart"/>
            <w:r>
              <w:rPr>
                <w:rFonts w:ascii="Arial" w:hAnsi="Arial" w:cs="Arial"/>
                <w:color w:val="000000"/>
                <w:lang w:val="fr-CH"/>
              </w:rPr>
              <w:t>except</w:t>
            </w:r>
            <w:proofErr w:type="spellEnd"/>
            <w:r>
              <w:rPr>
                <w:rFonts w:ascii="Arial" w:hAnsi="Arial" w:cs="Arial"/>
                <w:color w:val="000000"/>
                <w:lang w:val="fr-CH"/>
              </w:rPr>
              <w:t xml:space="preserve"> </w:t>
            </w:r>
            <w:proofErr w:type="spellStart"/>
            <w:r>
              <w:rPr>
                <w:rFonts w:ascii="Arial" w:hAnsi="Arial" w:cs="Arial"/>
                <w:color w:val="000000"/>
                <w:lang w:val="fr-CH"/>
              </w:rPr>
              <w:t>aeronautical</w:t>
            </w:r>
            <w:proofErr w:type="spellEnd"/>
            <w:r>
              <w:rPr>
                <w:rFonts w:ascii="Arial" w:hAnsi="Arial" w:cs="Arial"/>
                <w:color w:val="000000"/>
                <w:lang w:val="fr-CH"/>
              </w:rPr>
              <w:t xml:space="preserve"> mobile</w:t>
            </w:r>
          </w:p>
          <w:p w:rsidR="00FA3E89" w:rsidRDefault="00FA3E89">
            <w:pPr>
              <w:pStyle w:val="TableTextS5"/>
              <w:spacing w:line="200" w:lineRule="exact"/>
              <w:rPr>
                <w:rFonts w:ascii="Arial" w:hAnsi="Arial" w:cs="Arial"/>
                <w:color w:val="000000"/>
                <w:lang w:val="fr-CH"/>
              </w:rPr>
            </w:pPr>
            <w:r>
              <w:rPr>
                <w:rFonts w:ascii="Arial" w:hAnsi="Arial" w:cs="Arial"/>
                <w:color w:val="000000"/>
                <w:lang w:val="fr-CH"/>
              </w:rPr>
              <w:tab/>
            </w:r>
            <w:r>
              <w:rPr>
                <w:rFonts w:ascii="Arial" w:hAnsi="Arial" w:cs="Arial"/>
                <w:color w:val="000000"/>
                <w:lang w:val="fr-CH"/>
              </w:rPr>
              <w:tab/>
            </w:r>
            <w:r>
              <w:rPr>
                <w:rFonts w:ascii="Arial" w:hAnsi="Arial" w:cs="Arial"/>
                <w:color w:val="000000"/>
                <w:lang w:val="fr-CH"/>
              </w:rPr>
              <w:tab/>
            </w:r>
            <w:r>
              <w:rPr>
                <w:rFonts w:ascii="Arial" w:hAnsi="Arial" w:cs="Arial"/>
                <w:color w:val="000000"/>
                <w:lang w:val="fr-CH"/>
              </w:rPr>
              <w:tab/>
            </w:r>
            <w:r>
              <w:rPr>
                <w:rStyle w:val="Artref"/>
                <w:rFonts w:ascii="Arial" w:hAnsi="Arial" w:cs="Arial"/>
                <w:color w:val="000000"/>
                <w:lang w:val="fr-CH"/>
              </w:rPr>
              <w:t>5.133</w:t>
            </w:r>
          </w:p>
        </w:tc>
      </w:tr>
      <w:tr w:rsidR="00FA3E89" w:rsidTr="00FA3E89">
        <w:trPr>
          <w:cantSplit/>
          <w:jc w:val="center"/>
        </w:trPr>
        <w:tc>
          <w:tcPr>
            <w:tcW w:w="3100" w:type="dxa"/>
            <w:tcBorders>
              <w:top w:val="single" w:sz="2" w:space="0" w:color="auto"/>
              <w:left w:val="single" w:sz="2" w:space="0" w:color="auto"/>
              <w:bottom w:val="single" w:sz="2" w:space="0" w:color="auto"/>
              <w:right w:val="single" w:sz="6" w:space="0" w:color="auto"/>
            </w:tcBorders>
            <w:hideMark/>
          </w:tcPr>
          <w:p w:rsidR="00FA3E89" w:rsidRPr="00FA3E89" w:rsidRDefault="00FA3E89">
            <w:pPr>
              <w:pStyle w:val="TableTextS5"/>
              <w:ind w:left="170" w:hanging="170"/>
              <w:rPr>
                <w:rStyle w:val="Tablefreq"/>
                <w:rFonts w:ascii="Arial" w:hAnsi="Arial" w:cs="Arial"/>
                <w:color w:val="auto"/>
              </w:rPr>
            </w:pPr>
            <w:r w:rsidRPr="00FA3E89">
              <w:rPr>
                <w:rStyle w:val="Tablefreq"/>
                <w:rFonts w:ascii="Arial" w:hAnsi="Arial" w:cs="Arial"/>
                <w:color w:val="auto"/>
                <w:highlight w:val="yellow"/>
              </w:rPr>
              <w:t>5 250-5 275</w:t>
            </w:r>
          </w:p>
          <w:p w:rsidR="00FA3E89" w:rsidRPr="00FA3E89" w:rsidRDefault="00FA3E89">
            <w:pPr>
              <w:pStyle w:val="TableTextS5"/>
              <w:ind w:left="170" w:hanging="170"/>
            </w:pPr>
            <w:r w:rsidRPr="00FA3E89">
              <w:rPr>
                <w:rFonts w:ascii="Arial" w:hAnsi="Arial" w:cs="Arial"/>
              </w:rPr>
              <w:t>FIXED</w:t>
            </w:r>
          </w:p>
          <w:p w:rsidR="00FA3E89" w:rsidRPr="00FA3E89" w:rsidRDefault="00FA3E89">
            <w:pPr>
              <w:pStyle w:val="TableTextS5"/>
              <w:ind w:left="170" w:hanging="170"/>
              <w:rPr>
                <w:rFonts w:ascii="Arial" w:hAnsi="Arial" w:cs="Arial"/>
              </w:rPr>
            </w:pPr>
            <w:r w:rsidRPr="00FA3E89">
              <w:rPr>
                <w:rFonts w:ascii="Arial" w:hAnsi="Arial" w:cs="Arial"/>
              </w:rPr>
              <w:t xml:space="preserve">MOBILE </w:t>
            </w:r>
            <w:proofErr w:type="spellStart"/>
            <w:r w:rsidRPr="00FA3E89">
              <w:rPr>
                <w:rFonts w:ascii="Arial" w:hAnsi="Arial" w:cs="Arial"/>
              </w:rPr>
              <w:t>except</w:t>
            </w:r>
            <w:proofErr w:type="spellEnd"/>
            <w:r w:rsidRPr="00FA3E89">
              <w:rPr>
                <w:rFonts w:ascii="Arial" w:hAnsi="Arial" w:cs="Arial"/>
              </w:rPr>
              <w:t xml:space="preserve"> </w:t>
            </w:r>
            <w:proofErr w:type="spellStart"/>
            <w:r w:rsidRPr="00FA3E89">
              <w:rPr>
                <w:rFonts w:ascii="Arial" w:hAnsi="Arial" w:cs="Arial"/>
              </w:rPr>
              <w:t>aeronautical</w:t>
            </w:r>
            <w:proofErr w:type="spellEnd"/>
            <w:r w:rsidRPr="00FA3E89">
              <w:rPr>
                <w:rFonts w:ascii="Arial" w:hAnsi="Arial" w:cs="Arial"/>
              </w:rPr>
              <w:t xml:space="preserve"> mobile</w:t>
            </w:r>
          </w:p>
          <w:p w:rsidR="00FA3E89" w:rsidRPr="00FA3E89" w:rsidRDefault="00FA3E89">
            <w:pPr>
              <w:pStyle w:val="TableTextS5"/>
              <w:ind w:left="170" w:hanging="170"/>
              <w:rPr>
                <w:rFonts w:ascii="Arial" w:hAnsi="Arial" w:cs="Arial"/>
              </w:rPr>
            </w:pPr>
            <w:proofErr w:type="spellStart"/>
            <w:r w:rsidRPr="00FA3E89">
              <w:rPr>
                <w:rFonts w:ascii="Arial" w:hAnsi="Arial" w:cs="Arial"/>
              </w:rPr>
              <w:t>Radiolocation</w:t>
            </w:r>
            <w:proofErr w:type="spellEnd"/>
            <w:r w:rsidRPr="00FA3E89">
              <w:rPr>
                <w:rFonts w:ascii="Arial" w:hAnsi="Arial" w:cs="Arial"/>
              </w:rPr>
              <w:t xml:space="preserve">   5.132A</w:t>
            </w:r>
          </w:p>
          <w:p w:rsidR="00FA3E89" w:rsidRPr="00FA3E89" w:rsidRDefault="00FA3E89">
            <w:pPr>
              <w:pStyle w:val="TableTextS5"/>
              <w:ind w:left="170" w:hanging="170"/>
              <w:rPr>
                <w:rFonts w:ascii="Arial" w:hAnsi="Arial" w:cs="Arial"/>
              </w:rPr>
            </w:pPr>
            <w:r w:rsidRPr="00FA3E89">
              <w:rPr>
                <w:rFonts w:ascii="Arial" w:hAnsi="Arial" w:cs="Arial"/>
              </w:rPr>
              <w:t> 5.133A</w:t>
            </w:r>
          </w:p>
        </w:tc>
        <w:tc>
          <w:tcPr>
            <w:tcW w:w="3100" w:type="dxa"/>
            <w:tcBorders>
              <w:top w:val="single" w:sz="2" w:space="0" w:color="auto"/>
              <w:left w:val="single" w:sz="6" w:space="0" w:color="auto"/>
              <w:bottom w:val="single" w:sz="2" w:space="0" w:color="auto"/>
              <w:right w:val="single" w:sz="6" w:space="0" w:color="auto"/>
            </w:tcBorders>
            <w:hideMark/>
          </w:tcPr>
          <w:p w:rsidR="00FA3E89" w:rsidRPr="00FA3E89" w:rsidRDefault="00FA3E89">
            <w:pPr>
              <w:pStyle w:val="TableTextS5"/>
              <w:keepNext/>
              <w:rPr>
                <w:rStyle w:val="Tablefreq"/>
                <w:rFonts w:ascii="Arial" w:hAnsi="Arial" w:cs="Arial"/>
                <w:color w:val="auto"/>
                <w:lang w:val="fr-CA"/>
              </w:rPr>
            </w:pPr>
            <w:r w:rsidRPr="00FA3E89">
              <w:rPr>
                <w:rStyle w:val="Tablefreq"/>
                <w:rFonts w:ascii="Arial" w:hAnsi="Arial" w:cs="Arial"/>
                <w:color w:val="auto"/>
                <w:highlight w:val="yellow"/>
                <w:lang w:val="fr-CA"/>
              </w:rPr>
              <w:t>5 250-5 275</w:t>
            </w:r>
          </w:p>
          <w:p w:rsidR="00FA3E89" w:rsidRPr="00FA3E89" w:rsidRDefault="00FA3E89">
            <w:pPr>
              <w:pStyle w:val="TableTextS5"/>
            </w:pPr>
            <w:r w:rsidRPr="00FA3E89">
              <w:rPr>
                <w:rFonts w:ascii="Arial" w:hAnsi="Arial" w:cs="Arial"/>
                <w:lang w:val="fr-CA"/>
              </w:rPr>
              <w:t>FIXED</w:t>
            </w:r>
          </w:p>
          <w:p w:rsidR="00FA3E89" w:rsidRPr="00FA3E89" w:rsidRDefault="00FA3E89">
            <w:pPr>
              <w:pStyle w:val="TableTextS5"/>
              <w:ind w:left="170" w:hanging="170"/>
              <w:rPr>
                <w:rFonts w:ascii="Arial" w:hAnsi="Arial" w:cs="Arial"/>
                <w:lang w:val="fr-CA"/>
              </w:rPr>
            </w:pPr>
            <w:r w:rsidRPr="00FA3E89">
              <w:rPr>
                <w:rFonts w:ascii="Arial" w:hAnsi="Arial" w:cs="Arial"/>
                <w:lang w:val="fr-CA"/>
              </w:rPr>
              <w:t xml:space="preserve">MOBILE </w:t>
            </w:r>
            <w:proofErr w:type="spellStart"/>
            <w:r w:rsidRPr="00FA3E89">
              <w:rPr>
                <w:rFonts w:ascii="Arial" w:hAnsi="Arial" w:cs="Arial"/>
                <w:lang w:val="fr-CA"/>
              </w:rPr>
              <w:t>except</w:t>
            </w:r>
            <w:proofErr w:type="spellEnd"/>
            <w:r w:rsidRPr="00FA3E89">
              <w:rPr>
                <w:rFonts w:ascii="Arial" w:hAnsi="Arial" w:cs="Arial"/>
                <w:lang w:val="fr-CA"/>
              </w:rPr>
              <w:t xml:space="preserve"> </w:t>
            </w:r>
            <w:proofErr w:type="spellStart"/>
            <w:r w:rsidRPr="00FA3E89">
              <w:rPr>
                <w:rFonts w:ascii="Arial" w:hAnsi="Arial" w:cs="Arial"/>
                <w:lang w:val="fr-CA"/>
              </w:rPr>
              <w:t>aeronautical</w:t>
            </w:r>
            <w:proofErr w:type="spellEnd"/>
            <w:r w:rsidRPr="00FA3E89">
              <w:rPr>
                <w:rFonts w:ascii="Arial" w:hAnsi="Arial" w:cs="Arial"/>
                <w:lang w:val="fr-CA"/>
              </w:rPr>
              <w:t xml:space="preserve"> mobile</w:t>
            </w:r>
          </w:p>
          <w:p w:rsidR="00FA3E89" w:rsidRPr="00FA3E89" w:rsidRDefault="00FA3E89">
            <w:pPr>
              <w:pStyle w:val="TableTextS5"/>
              <w:rPr>
                <w:rFonts w:ascii="Arial" w:hAnsi="Arial" w:cs="Arial"/>
              </w:rPr>
            </w:pPr>
            <w:r w:rsidRPr="00FA3E89">
              <w:rPr>
                <w:rFonts w:ascii="Arial" w:hAnsi="Arial" w:cs="Arial"/>
                <w:lang w:val="fr-CA"/>
              </w:rPr>
              <w:t>RADIOLOCATION  5.</w:t>
            </w:r>
            <w:r w:rsidRPr="00FA3E89">
              <w:rPr>
                <w:rFonts w:ascii="Arial" w:hAnsi="Arial" w:cs="Arial"/>
              </w:rPr>
              <w:t>132A</w:t>
            </w:r>
          </w:p>
        </w:tc>
        <w:tc>
          <w:tcPr>
            <w:tcW w:w="3100" w:type="dxa"/>
            <w:tcBorders>
              <w:top w:val="single" w:sz="2" w:space="0" w:color="auto"/>
              <w:left w:val="single" w:sz="6" w:space="0" w:color="auto"/>
              <w:bottom w:val="single" w:sz="2" w:space="0" w:color="auto"/>
              <w:right w:val="single" w:sz="2" w:space="0" w:color="auto"/>
            </w:tcBorders>
            <w:hideMark/>
          </w:tcPr>
          <w:p w:rsidR="00FA3E89" w:rsidRPr="00FA3E89" w:rsidRDefault="00FA3E89">
            <w:pPr>
              <w:pStyle w:val="TableTextS5"/>
              <w:rPr>
                <w:rStyle w:val="Tablefreq"/>
                <w:rFonts w:ascii="Arial" w:hAnsi="Arial" w:cs="Arial"/>
                <w:color w:val="auto"/>
              </w:rPr>
            </w:pPr>
            <w:r w:rsidRPr="00FA3E89">
              <w:rPr>
                <w:rStyle w:val="Tablefreq"/>
                <w:rFonts w:ascii="Arial" w:hAnsi="Arial" w:cs="Arial"/>
                <w:color w:val="auto"/>
                <w:highlight w:val="yellow"/>
              </w:rPr>
              <w:t>5 250-5 275</w:t>
            </w:r>
          </w:p>
          <w:p w:rsidR="00FA3E89" w:rsidRPr="00FA3E89" w:rsidRDefault="00FA3E89">
            <w:pPr>
              <w:pStyle w:val="TableTextS5"/>
            </w:pPr>
            <w:r w:rsidRPr="00FA3E89">
              <w:rPr>
                <w:rFonts w:ascii="Arial" w:hAnsi="Arial" w:cs="Arial"/>
              </w:rPr>
              <w:t>FIXED</w:t>
            </w:r>
          </w:p>
          <w:p w:rsidR="00FA3E89" w:rsidRPr="00FA3E89" w:rsidRDefault="00FA3E89">
            <w:pPr>
              <w:pStyle w:val="TableTextS5"/>
              <w:ind w:left="170" w:hanging="170"/>
              <w:rPr>
                <w:rFonts w:ascii="Arial" w:hAnsi="Arial" w:cs="Arial"/>
              </w:rPr>
            </w:pPr>
            <w:r w:rsidRPr="00FA3E89">
              <w:rPr>
                <w:rFonts w:ascii="Arial" w:hAnsi="Arial" w:cs="Arial"/>
              </w:rPr>
              <w:t xml:space="preserve">MOBILE </w:t>
            </w:r>
            <w:proofErr w:type="spellStart"/>
            <w:r w:rsidRPr="00FA3E89">
              <w:rPr>
                <w:rFonts w:ascii="Arial" w:hAnsi="Arial" w:cs="Arial"/>
              </w:rPr>
              <w:t>except</w:t>
            </w:r>
            <w:proofErr w:type="spellEnd"/>
            <w:r w:rsidRPr="00FA3E89">
              <w:rPr>
                <w:rFonts w:ascii="Arial" w:hAnsi="Arial" w:cs="Arial"/>
              </w:rPr>
              <w:t xml:space="preserve"> </w:t>
            </w:r>
            <w:proofErr w:type="spellStart"/>
            <w:r w:rsidRPr="00FA3E89">
              <w:rPr>
                <w:rFonts w:ascii="Arial" w:hAnsi="Arial" w:cs="Arial"/>
              </w:rPr>
              <w:t>aeronautical</w:t>
            </w:r>
            <w:proofErr w:type="spellEnd"/>
            <w:r w:rsidRPr="00FA3E89">
              <w:rPr>
                <w:rFonts w:ascii="Arial" w:hAnsi="Arial" w:cs="Arial"/>
              </w:rPr>
              <w:t xml:space="preserve"> mobile</w:t>
            </w:r>
          </w:p>
          <w:p w:rsidR="00FA3E89" w:rsidRPr="00FA3E89" w:rsidRDefault="00FA3E89">
            <w:pPr>
              <w:pStyle w:val="TableTextS5"/>
              <w:rPr>
                <w:rFonts w:ascii="Arial" w:hAnsi="Arial" w:cs="Arial"/>
              </w:rPr>
            </w:pPr>
            <w:proofErr w:type="spellStart"/>
            <w:r w:rsidRPr="00FA3E89">
              <w:rPr>
                <w:rFonts w:ascii="Arial" w:hAnsi="Arial" w:cs="Arial"/>
              </w:rPr>
              <w:t>Radiolocation</w:t>
            </w:r>
            <w:proofErr w:type="spellEnd"/>
            <w:r w:rsidRPr="00FA3E89">
              <w:rPr>
                <w:rFonts w:ascii="Arial" w:hAnsi="Arial" w:cs="Arial"/>
              </w:rPr>
              <w:t xml:space="preserve">  5.132A</w:t>
            </w:r>
          </w:p>
        </w:tc>
      </w:tr>
      <w:tr w:rsidR="00FA3E89" w:rsidTr="00FA3E89">
        <w:trPr>
          <w:cantSplit/>
          <w:jc w:val="center"/>
        </w:trPr>
        <w:tc>
          <w:tcPr>
            <w:tcW w:w="9300" w:type="dxa"/>
            <w:gridSpan w:val="3"/>
            <w:tcBorders>
              <w:top w:val="single" w:sz="2" w:space="0" w:color="auto"/>
              <w:left w:val="single" w:sz="2" w:space="0" w:color="auto"/>
              <w:bottom w:val="single" w:sz="2" w:space="0" w:color="auto"/>
              <w:right w:val="single" w:sz="2" w:space="0" w:color="auto"/>
            </w:tcBorders>
            <w:hideMark/>
          </w:tcPr>
          <w:p w:rsidR="00FA3E89" w:rsidRPr="00FA3E89" w:rsidRDefault="00FA3E89">
            <w:pPr>
              <w:pStyle w:val="TableTextS5"/>
              <w:ind w:left="170" w:hanging="170"/>
              <w:rPr>
                <w:rFonts w:ascii="Arial" w:hAnsi="Arial" w:cs="Arial"/>
                <w:lang w:val="fr-CH"/>
              </w:rPr>
            </w:pPr>
            <w:r w:rsidRPr="00FA3E89">
              <w:rPr>
                <w:rStyle w:val="Tablefreq"/>
                <w:rFonts w:ascii="Arial" w:hAnsi="Arial" w:cs="Arial"/>
                <w:color w:val="auto"/>
                <w:highlight w:val="yellow"/>
                <w:lang w:val="fr-CH"/>
              </w:rPr>
              <w:t>5 275-5 450</w:t>
            </w:r>
            <w:r w:rsidRPr="00FA3E89">
              <w:rPr>
                <w:rFonts w:ascii="Arial" w:hAnsi="Arial" w:cs="Arial"/>
                <w:lang w:val="fr-CH"/>
              </w:rPr>
              <w:tab/>
              <w:t>FIXED</w:t>
            </w:r>
          </w:p>
          <w:p w:rsidR="00FA3E89" w:rsidRPr="00FA3E89" w:rsidRDefault="00FA3E89">
            <w:pPr>
              <w:pStyle w:val="TableTextS5"/>
              <w:keepNext/>
              <w:spacing w:line="200" w:lineRule="exact"/>
              <w:rPr>
                <w:rStyle w:val="Tablefreq"/>
                <w:color w:val="auto"/>
              </w:rPr>
            </w:pPr>
            <w:r w:rsidRPr="00FA3E89">
              <w:rPr>
                <w:rFonts w:ascii="Arial" w:hAnsi="Arial" w:cs="Arial"/>
                <w:lang w:val="fr-CH"/>
              </w:rPr>
              <w:t xml:space="preserve">                                                            MOBILE </w:t>
            </w:r>
            <w:proofErr w:type="spellStart"/>
            <w:r w:rsidRPr="00FA3E89">
              <w:rPr>
                <w:rFonts w:ascii="Arial" w:hAnsi="Arial" w:cs="Arial"/>
                <w:lang w:val="fr-CH"/>
              </w:rPr>
              <w:t>except</w:t>
            </w:r>
            <w:proofErr w:type="spellEnd"/>
            <w:r w:rsidRPr="00FA3E89">
              <w:rPr>
                <w:rFonts w:ascii="Arial" w:hAnsi="Arial" w:cs="Arial"/>
                <w:lang w:val="fr-CH"/>
              </w:rPr>
              <w:t xml:space="preserve"> </w:t>
            </w:r>
            <w:proofErr w:type="spellStart"/>
            <w:r w:rsidRPr="00FA3E89">
              <w:rPr>
                <w:rFonts w:ascii="Arial" w:hAnsi="Arial" w:cs="Arial"/>
                <w:lang w:val="fr-CH"/>
              </w:rPr>
              <w:t>aeronautical</w:t>
            </w:r>
            <w:proofErr w:type="spellEnd"/>
            <w:r w:rsidRPr="00FA3E89">
              <w:rPr>
                <w:rFonts w:ascii="Arial" w:hAnsi="Arial" w:cs="Arial"/>
                <w:lang w:val="fr-CH"/>
              </w:rPr>
              <w:t xml:space="preserve"> mobile</w:t>
            </w:r>
          </w:p>
        </w:tc>
      </w:tr>
      <w:tr w:rsidR="00FA3E89" w:rsidTr="00FA3E89">
        <w:trPr>
          <w:cantSplit/>
          <w:jc w:val="center"/>
        </w:trPr>
        <w:tc>
          <w:tcPr>
            <w:tcW w:w="3100" w:type="dxa"/>
            <w:tcBorders>
              <w:top w:val="single" w:sz="2" w:space="0" w:color="auto"/>
              <w:left w:val="single" w:sz="2" w:space="0" w:color="auto"/>
              <w:bottom w:val="single" w:sz="2" w:space="0" w:color="auto"/>
              <w:right w:val="single" w:sz="6" w:space="0" w:color="auto"/>
            </w:tcBorders>
            <w:hideMark/>
          </w:tcPr>
          <w:p w:rsidR="00FA3E89" w:rsidRDefault="00FA3E89">
            <w:pPr>
              <w:pStyle w:val="TableTextS5"/>
              <w:spacing w:line="200" w:lineRule="exact"/>
              <w:rPr>
                <w:rFonts w:ascii="Arial" w:hAnsi="Arial" w:cs="Arial"/>
                <w:color w:val="000000"/>
              </w:rPr>
            </w:pPr>
            <w:r>
              <w:rPr>
                <w:rStyle w:val="Tablefreq"/>
                <w:rFonts w:ascii="Arial" w:hAnsi="Arial" w:cs="Arial"/>
                <w:color w:val="000000"/>
                <w:lang w:val="en-AU"/>
              </w:rPr>
              <w:t>5 450-5 480</w:t>
            </w:r>
          </w:p>
          <w:p w:rsidR="00FA3E89" w:rsidRDefault="00FA3E89">
            <w:pPr>
              <w:pStyle w:val="TableTextS5"/>
              <w:spacing w:line="200" w:lineRule="exact"/>
              <w:rPr>
                <w:rFonts w:ascii="Arial" w:hAnsi="Arial" w:cs="Arial"/>
                <w:color w:val="000000"/>
                <w:lang w:val="en-AU"/>
              </w:rPr>
            </w:pPr>
            <w:r>
              <w:rPr>
                <w:rFonts w:ascii="Arial" w:hAnsi="Arial" w:cs="Arial"/>
                <w:color w:val="000000"/>
                <w:lang w:val="en-AU"/>
              </w:rPr>
              <w:t>FIXED</w:t>
            </w:r>
          </w:p>
          <w:p w:rsidR="00FA3E89" w:rsidRDefault="00FA3E89">
            <w:pPr>
              <w:pStyle w:val="TableTextS5"/>
              <w:spacing w:line="200" w:lineRule="exact"/>
              <w:rPr>
                <w:rFonts w:ascii="Arial" w:hAnsi="Arial" w:cs="Arial"/>
                <w:color w:val="000000"/>
                <w:lang w:val="en-AU"/>
              </w:rPr>
            </w:pPr>
            <w:r>
              <w:rPr>
                <w:rFonts w:ascii="Arial" w:hAnsi="Arial" w:cs="Arial"/>
                <w:color w:val="000000"/>
                <w:lang w:val="en-AU"/>
              </w:rPr>
              <w:t>AERONAUTICAL MOBILE (OR)</w:t>
            </w:r>
          </w:p>
          <w:p w:rsidR="00FA3E89" w:rsidRDefault="00FA3E89">
            <w:pPr>
              <w:pStyle w:val="TableTextS5"/>
              <w:spacing w:line="200" w:lineRule="exact"/>
              <w:rPr>
                <w:rFonts w:ascii="Arial" w:hAnsi="Arial" w:cs="Arial"/>
                <w:color w:val="000000"/>
                <w:lang w:val="en-AU"/>
              </w:rPr>
            </w:pPr>
            <w:r>
              <w:rPr>
                <w:rFonts w:ascii="Arial" w:hAnsi="Arial" w:cs="Arial"/>
                <w:color w:val="000000"/>
                <w:lang w:val="en-AU"/>
              </w:rPr>
              <w:t>LAND MOBILE</w:t>
            </w:r>
          </w:p>
        </w:tc>
        <w:tc>
          <w:tcPr>
            <w:tcW w:w="3100" w:type="dxa"/>
            <w:tcBorders>
              <w:top w:val="single" w:sz="2" w:space="0" w:color="auto"/>
              <w:left w:val="single" w:sz="6" w:space="0" w:color="auto"/>
              <w:bottom w:val="single" w:sz="2" w:space="0" w:color="auto"/>
              <w:right w:val="single" w:sz="6" w:space="0" w:color="auto"/>
            </w:tcBorders>
            <w:hideMark/>
          </w:tcPr>
          <w:p w:rsidR="00FA3E89" w:rsidRDefault="00FA3E89">
            <w:pPr>
              <w:pStyle w:val="TableTextS5"/>
              <w:spacing w:line="200" w:lineRule="exact"/>
              <w:rPr>
                <w:rFonts w:ascii="Arial" w:hAnsi="Arial" w:cs="Arial"/>
                <w:color w:val="000000"/>
              </w:rPr>
            </w:pPr>
            <w:r>
              <w:rPr>
                <w:rStyle w:val="Tablefreq"/>
                <w:rFonts w:ascii="Arial" w:hAnsi="Arial" w:cs="Arial"/>
                <w:color w:val="000000"/>
                <w:lang w:val="en-AU"/>
              </w:rPr>
              <w:t>5 450-5 480</w:t>
            </w:r>
          </w:p>
          <w:p w:rsidR="00FA3E89" w:rsidRDefault="00FA3E89">
            <w:pPr>
              <w:pStyle w:val="TableTextS5"/>
              <w:spacing w:line="200" w:lineRule="exact"/>
              <w:rPr>
                <w:rFonts w:ascii="Arial" w:hAnsi="Arial" w:cs="Arial"/>
                <w:color w:val="000000"/>
                <w:lang w:val="en-AU"/>
              </w:rPr>
            </w:pPr>
            <w:r>
              <w:rPr>
                <w:rFonts w:ascii="Arial" w:hAnsi="Arial" w:cs="Arial"/>
                <w:color w:val="000000"/>
                <w:lang w:val="en-AU"/>
              </w:rPr>
              <w:t>AERONAUTICAL MOBILE (R)</w:t>
            </w:r>
          </w:p>
        </w:tc>
        <w:tc>
          <w:tcPr>
            <w:tcW w:w="3100" w:type="dxa"/>
            <w:tcBorders>
              <w:top w:val="single" w:sz="2" w:space="0" w:color="auto"/>
              <w:left w:val="single" w:sz="6" w:space="0" w:color="auto"/>
              <w:bottom w:val="single" w:sz="2" w:space="0" w:color="auto"/>
              <w:right w:val="single" w:sz="2" w:space="0" w:color="auto"/>
            </w:tcBorders>
            <w:hideMark/>
          </w:tcPr>
          <w:p w:rsidR="00FA3E89" w:rsidRDefault="00FA3E89">
            <w:pPr>
              <w:pStyle w:val="TableTextS5"/>
              <w:spacing w:line="200" w:lineRule="exact"/>
              <w:rPr>
                <w:rFonts w:ascii="Arial" w:hAnsi="Arial" w:cs="Arial"/>
                <w:color w:val="000000"/>
              </w:rPr>
            </w:pPr>
            <w:r>
              <w:rPr>
                <w:rStyle w:val="Tablefreq"/>
                <w:rFonts w:ascii="Arial" w:hAnsi="Arial" w:cs="Arial"/>
                <w:color w:val="000000"/>
                <w:lang w:val="en-AU"/>
              </w:rPr>
              <w:t>5 450-5 480</w:t>
            </w:r>
          </w:p>
          <w:p w:rsidR="00FA3E89" w:rsidRDefault="00FA3E89">
            <w:pPr>
              <w:pStyle w:val="TableTextS5"/>
              <w:spacing w:line="200" w:lineRule="exact"/>
              <w:rPr>
                <w:rFonts w:ascii="Arial" w:hAnsi="Arial" w:cs="Arial"/>
                <w:color w:val="000000"/>
                <w:lang w:val="en-AU"/>
              </w:rPr>
            </w:pPr>
            <w:r>
              <w:rPr>
                <w:rFonts w:ascii="Arial" w:hAnsi="Arial" w:cs="Arial"/>
                <w:color w:val="000000"/>
                <w:lang w:val="en-AU"/>
              </w:rPr>
              <w:t>FIXED</w:t>
            </w:r>
          </w:p>
          <w:p w:rsidR="00FA3E89" w:rsidRDefault="00FA3E89">
            <w:pPr>
              <w:pStyle w:val="TableTextS5"/>
              <w:spacing w:line="200" w:lineRule="exact"/>
              <w:rPr>
                <w:rFonts w:ascii="Arial" w:hAnsi="Arial" w:cs="Arial"/>
                <w:color w:val="000000"/>
                <w:lang w:val="en-AU"/>
              </w:rPr>
            </w:pPr>
            <w:r>
              <w:rPr>
                <w:rFonts w:ascii="Arial" w:hAnsi="Arial" w:cs="Arial"/>
                <w:color w:val="000000"/>
                <w:lang w:val="en-AU"/>
              </w:rPr>
              <w:t>AERONAUTICAL MOBILE (OR)</w:t>
            </w:r>
          </w:p>
          <w:p w:rsidR="00FA3E89" w:rsidRDefault="00FA3E89">
            <w:pPr>
              <w:pStyle w:val="TableTextS5"/>
              <w:spacing w:line="200" w:lineRule="exact"/>
              <w:rPr>
                <w:rFonts w:ascii="Arial" w:hAnsi="Arial" w:cs="Arial"/>
                <w:color w:val="000000"/>
                <w:lang w:val="en-AU"/>
              </w:rPr>
            </w:pPr>
            <w:r>
              <w:rPr>
                <w:rFonts w:ascii="Arial" w:hAnsi="Arial" w:cs="Arial"/>
                <w:color w:val="000000"/>
                <w:lang w:val="en-AU"/>
              </w:rPr>
              <w:t>LAND MOBILE</w:t>
            </w:r>
          </w:p>
        </w:tc>
      </w:tr>
      <w:tr w:rsidR="00FA3E89" w:rsidTr="00FA3E89">
        <w:trPr>
          <w:cantSplit/>
          <w:jc w:val="center"/>
        </w:trPr>
        <w:tc>
          <w:tcPr>
            <w:tcW w:w="9300" w:type="dxa"/>
            <w:gridSpan w:val="3"/>
            <w:tcBorders>
              <w:top w:val="single" w:sz="2" w:space="0" w:color="auto"/>
              <w:left w:val="single" w:sz="2" w:space="0" w:color="auto"/>
              <w:bottom w:val="single" w:sz="2" w:space="0" w:color="auto"/>
              <w:right w:val="single" w:sz="2" w:space="0" w:color="auto"/>
            </w:tcBorders>
            <w:hideMark/>
          </w:tcPr>
          <w:p w:rsidR="00FA3E89" w:rsidRDefault="00FA3E89">
            <w:pPr>
              <w:pStyle w:val="TableTextS5"/>
              <w:spacing w:line="200" w:lineRule="exact"/>
              <w:rPr>
                <w:rFonts w:ascii="Arial" w:hAnsi="Arial" w:cs="Arial"/>
                <w:color w:val="000000"/>
                <w:lang w:val="en-AU"/>
              </w:rPr>
            </w:pPr>
            <w:r>
              <w:rPr>
                <w:rStyle w:val="Tablefreq"/>
                <w:rFonts w:ascii="Arial" w:hAnsi="Arial" w:cs="Arial"/>
                <w:color w:val="000000"/>
                <w:lang w:val="en-AU"/>
              </w:rPr>
              <w:t>5 480-5 680</w:t>
            </w:r>
            <w:r>
              <w:rPr>
                <w:rFonts w:ascii="Arial" w:hAnsi="Arial" w:cs="Arial"/>
                <w:color w:val="000000"/>
                <w:lang w:val="en-AU"/>
              </w:rPr>
              <w:tab/>
              <w:t>AERONAUTICAL MOBILE (R)</w:t>
            </w:r>
          </w:p>
          <w:p w:rsidR="00FA3E89" w:rsidRDefault="00FA3E89">
            <w:pPr>
              <w:pStyle w:val="TableTextS5"/>
              <w:spacing w:line="200" w:lineRule="exact"/>
              <w:rPr>
                <w:rFonts w:ascii="Arial" w:hAnsi="Arial" w:cs="Arial"/>
                <w:color w:val="000000"/>
                <w:lang w:val="en-AU"/>
              </w:rPr>
            </w:pPr>
            <w:r>
              <w:rPr>
                <w:rFonts w:ascii="Arial" w:hAnsi="Arial" w:cs="Arial"/>
                <w:color w:val="000000"/>
                <w:lang w:val="en-AU"/>
              </w:rPr>
              <w:tab/>
            </w:r>
            <w:r>
              <w:rPr>
                <w:rFonts w:ascii="Arial" w:hAnsi="Arial" w:cs="Arial"/>
                <w:color w:val="000000"/>
                <w:lang w:val="en-AU"/>
              </w:rPr>
              <w:tab/>
            </w:r>
            <w:r>
              <w:rPr>
                <w:rFonts w:ascii="Arial" w:hAnsi="Arial" w:cs="Arial"/>
                <w:color w:val="000000"/>
                <w:lang w:val="en-AU"/>
              </w:rPr>
              <w:tab/>
            </w:r>
            <w:r>
              <w:rPr>
                <w:rFonts w:ascii="Arial" w:hAnsi="Arial" w:cs="Arial"/>
                <w:color w:val="000000"/>
                <w:lang w:val="en-AU"/>
              </w:rPr>
              <w:tab/>
            </w:r>
            <w:r>
              <w:rPr>
                <w:rStyle w:val="Artref"/>
                <w:rFonts w:ascii="Arial" w:hAnsi="Arial" w:cs="Arial"/>
                <w:color w:val="000000"/>
                <w:lang w:val="en-AU"/>
              </w:rPr>
              <w:t>5.111</w:t>
            </w:r>
            <w:r>
              <w:rPr>
                <w:rFonts w:ascii="Arial" w:hAnsi="Arial" w:cs="Arial"/>
                <w:color w:val="000000"/>
                <w:lang w:val="en-AU"/>
              </w:rPr>
              <w:t xml:space="preserve">  </w:t>
            </w:r>
            <w:r>
              <w:rPr>
                <w:rStyle w:val="Artref"/>
                <w:rFonts w:ascii="Arial" w:hAnsi="Arial" w:cs="Arial"/>
                <w:color w:val="000000"/>
                <w:lang w:val="en-AU"/>
              </w:rPr>
              <w:t>5.115</w:t>
            </w:r>
          </w:p>
        </w:tc>
      </w:tr>
    </w:tbl>
    <w:p w:rsidR="00FA3E89" w:rsidRDefault="00FA3E89" w:rsidP="00FA3E89"/>
    <w:p w:rsidR="00FA3E89" w:rsidRDefault="00FA3E89" w:rsidP="0031642D">
      <w:pPr>
        <w:pStyle w:val="ECCParagraph"/>
        <w:rPr>
          <w:b/>
          <w:lang w:val="en-US"/>
        </w:rPr>
      </w:pPr>
    </w:p>
    <w:p w:rsidR="0031642D" w:rsidRPr="0031642D" w:rsidRDefault="0031642D" w:rsidP="0031642D">
      <w:pPr>
        <w:pStyle w:val="ECCParagraph"/>
        <w:rPr>
          <w:lang w:val="en-US"/>
        </w:rPr>
      </w:pPr>
      <w:r w:rsidRPr="0031642D">
        <w:rPr>
          <w:b/>
          <w:lang w:val="en-US"/>
        </w:rPr>
        <w:t>5.111</w:t>
      </w:r>
      <w:r w:rsidRPr="0031642D">
        <w:rPr>
          <w:lang w:val="en-US"/>
        </w:rPr>
        <w:tab/>
        <w:t>The carrier frequencies 2 182 kHz, 3 023 kHz, 5 680 kHz, 8 364 kHz and the frequencies 121.5 MHz, 156.525 MHz, 156.8 MHz and 243 MHz may also be used, in accordance with the procedures in force for terrestrial radiocommunication services, for search and rescue operations concerning manned space vehicles. The conditions for the use of the frequencies are prescribed in Article 31.</w:t>
      </w:r>
    </w:p>
    <w:p w:rsidR="0031642D" w:rsidRPr="0031642D" w:rsidRDefault="0031642D" w:rsidP="0031642D">
      <w:pPr>
        <w:pStyle w:val="ECCParagraph"/>
        <w:rPr>
          <w:lang w:val="en-US"/>
        </w:rPr>
      </w:pPr>
      <w:r w:rsidRPr="0031642D">
        <w:rPr>
          <w:lang w:val="en-US"/>
        </w:rPr>
        <w:t xml:space="preserve">The same applies to the frequencies 10 003 kHz, 14 993 kHz and 19 993 kHz, but in each of these cases emissions must be confined </w:t>
      </w:r>
      <w:r w:rsidR="00105049">
        <w:rPr>
          <w:lang w:val="en-US"/>
        </w:rPr>
        <w:t xml:space="preserve">in a band of </w:t>
      </w:r>
      <w:r w:rsidR="00105049">
        <w:rPr>
          <w:rFonts w:cs="Arial"/>
          <w:lang w:val="en-US"/>
        </w:rPr>
        <w:t>±</w:t>
      </w:r>
      <w:r w:rsidRPr="0031642D">
        <w:rPr>
          <w:lang w:val="en-US"/>
        </w:rPr>
        <w:t xml:space="preserve"> 3 kH</w:t>
      </w:r>
      <w:r w:rsidR="00232C61">
        <w:rPr>
          <w:lang w:val="en-US"/>
        </w:rPr>
        <w:t>z about the frequency.     (WRC-</w:t>
      </w:r>
      <w:r w:rsidRPr="0031642D">
        <w:rPr>
          <w:lang w:val="en-US"/>
        </w:rPr>
        <w:t>07)</w:t>
      </w:r>
    </w:p>
    <w:p w:rsidR="0031642D" w:rsidRPr="0031642D" w:rsidRDefault="0031642D" w:rsidP="0031642D">
      <w:pPr>
        <w:pStyle w:val="ECCParagraph"/>
        <w:rPr>
          <w:lang w:val="en-US"/>
        </w:rPr>
      </w:pPr>
      <w:r w:rsidRPr="0031642D">
        <w:rPr>
          <w:b/>
          <w:lang w:val="en-US"/>
        </w:rPr>
        <w:t>5.115</w:t>
      </w:r>
      <w:r w:rsidRPr="0031642D">
        <w:rPr>
          <w:lang w:val="en-US"/>
        </w:rPr>
        <w:tab/>
        <w:t>The carrier (reference) frequencies 3 023 kHz and 5 680 kHz may also be used, in accordance with Article 31, by stations of the maritime mobile service engaged in coordinated search and rescue operations.  (WRC 07)</w:t>
      </w:r>
    </w:p>
    <w:p w:rsidR="0031642D" w:rsidRPr="0031642D" w:rsidRDefault="0031642D" w:rsidP="0031642D">
      <w:pPr>
        <w:pStyle w:val="ECCParagraph"/>
        <w:rPr>
          <w:lang w:val="en-US"/>
        </w:rPr>
      </w:pPr>
      <w:r w:rsidRPr="0031642D">
        <w:rPr>
          <w:b/>
          <w:lang w:val="en-US"/>
        </w:rPr>
        <w:t>5.132A</w:t>
      </w:r>
      <w:r w:rsidRPr="0031642D">
        <w:rPr>
          <w:lang w:val="en-US"/>
        </w:rPr>
        <w:tab/>
        <w:t>Stations in the radiolocation service shall not cause harmful interference to, or claim protection from, stations operating in the fixed or mobile services. Applications of the radiolocation service are limited to oceanographic radars operating in accordance with Resolution 612 (</w:t>
      </w:r>
      <w:proofErr w:type="spellStart"/>
      <w:r w:rsidRPr="0031642D">
        <w:rPr>
          <w:lang w:val="en-US"/>
        </w:rPr>
        <w:t>Rev.WRC</w:t>
      </w:r>
      <w:proofErr w:type="spellEnd"/>
      <w:r w:rsidRPr="0031642D">
        <w:rPr>
          <w:lang w:val="en-US"/>
        </w:rPr>
        <w:t xml:space="preserve"> 12). (WRC</w:t>
      </w:r>
      <w:r w:rsidR="00232C61">
        <w:rPr>
          <w:lang w:val="en-US"/>
        </w:rPr>
        <w:t>-</w:t>
      </w:r>
      <w:r w:rsidRPr="0031642D">
        <w:rPr>
          <w:lang w:val="en-US"/>
        </w:rPr>
        <w:t>12)</w:t>
      </w:r>
    </w:p>
    <w:p w:rsidR="0031642D" w:rsidRPr="0031642D" w:rsidRDefault="0031642D" w:rsidP="0031642D">
      <w:pPr>
        <w:pStyle w:val="ECCParagraph"/>
        <w:rPr>
          <w:lang w:val="en-US"/>
        </w:rPr>
      </w:pPr>
      <w:r w:rsidRPr="0031642D">
        <w:rPr>
          <w:b/>
          <w:lang w:val="en-US"/>
        </w:rPr>
        <w:t>5.133</w:t>
      </w:r>
      <w:r w:rsidRPr="0031642D">
        <w:rPr>
          <w:lang w:val="en-US"/>
        </w:rPr>
        <w:tab/>
        <w:t>Different category of service:  in Armenia, Azerbaijan, Belarus, the Russian Federation, Georgia, Kazakhstan, Latvia, Lithuania, Moldova, Uzbekistan, Kyrgyzstan, Tajikistan, Turkmenistan and Ukraine, the allocation of the band 5 130-5 250 kHz to the mobile, except aeronautical mobile, service is on a pri</w:t>
      </w:r>
      <w:r w:rsidR="00232C61">
        <w:rPr>
          <w:lang w:val="en-US"/>
        </w:rPr>
        <w:t>mary basis (see No. 5.33). (WRC-</w:t>
      </w:r>
      <w:r w:rsidRPr="0031642D">
        <w:rPr>
          <w:lang w:val="en-US"/>
        </w:rPr>
        <w:t>12)</w:t>
      </w:r>
    </w:p>
    <w:p w:rsidR="00C261B8" w:rsidRPr="00C261B8" w:rsidRDefault="0031642D" w:rsidP="0031642D">
      <w:pPr>
        <w:pStyle w:val="ECCParagraph"/>
        <w:rPr>
          <w:lang w:val="en-US"/>
        </w:rPr>
      </w:pPr>
      <w:r w:rsidRPr="0031642D">
        <w:rPr>
          <w:b/>
          <w:lang w:val="en-US"/>
        </w:rPr>
        <w:t>5.133A</w:t>
      </w:r>
      <w:r w:rsidRPr="0031642D">
        <w:rPr>
          <w:lang w:val="en-US"/>
        </w:rPr>
        <w:tab/>
        <w:t>Alternative allocation: in Armenia, Austria, Belarus, Moldova, Uzbekistan and Kyrgyzstan, the frequency bands 5 250-5 275 kHz and 26 200-26 350 kHz are allocated to the fixed and mobile, except aeronautical mobile, se</w:t>
      </w:r>
      <w:r w:rsidR="00232C61">
        <w:rPr>
          <w:lang w:val="en-US"/>
        </w:rPr>
        <w:t>rvices on a primary basis. (WRC-</w:t>
      </w:r>
      <w:r w:rsidRPr="0031642D">
        <w:rPr>
          <w:lang w:val="en-US"/>
        </w:rPr>
        <w:t>12)</w:t>
      </w:r>
    </w:p>
    <w:p w:rsidR="009744B4" w:rsidRPr="00121C7E" w:rsidRDefault="009744B4" w:rsidP="009744B4">
      <w:pPr>
        <w:pStyle w:val="Heading1"/>
      </w:pPr>
      <w:r w:rsidRPr="00121C7E">
        <w:t>List of relevant documents</w:t>
      </w:r>
    </w:p>
    <w:p w:rsidR="00232C61" w:rsidRDefault="00232C61" w:rsidP="0031642D">
      <w:pPr>
        <w:pStyle w:val="ECCParagraph"/>
        <w:spacing w:after="120"/>
        <w:rPr>
          <w:rFonts w:cs="Arial"/>
          <w:szCs w:val="20"/>
          <w:lang w:val="en-US"/>
        </w:rPr>
      </w:pPr>
    </w:p>
    <w:p w:rsidR="0031642D" w:rsidRPr="003B7E8F" w:rsidRDefault="0031642D" w:rsidP="006E334C">
      <w:pPr>
        <w:pStyle w:val="ECCParagraph"/>
        <w:rPr>
          <w:b/>
        </w:rPr>
      </w:pPr>
      <w:r w:rsidRPr="003B7E8F">
        <w:rPr>
          <w:b/>
        </w:rPr>
        <w:t>ITU-Recommendations:</w:t>
      </w:r>
    </w:p>
    <w:p w:rsidR="0031642D" w:rsidRPr="00DC2F10" w:rsidRDefault="0031642D" w:rsidP="0031642D">
      <w:pPr>
        <w:pStyle w:val="ECCParagraph"/>
        <w:spacing w:after="120"/>
        <w:rPr>
          <w:rFonts w:cs="Arial"/>
          <w:szCs w:val="20"/>
        </w:rPr>
      </w:pPr>
      <w:r w:rsidRPr="00DC2F10">
        <w:rPr>
          <w:rFonts w:cs="Arial"/>
          <w:szCs w:val="20"/>
        </w:rPr>
        <w:lastRenderedPageBreak/>
        <w:t xml:space="preserve">Recommendation ITU-R F.162-3 Use of directional transmitting antennas in the fixed service operating in bands below 30 MHz; </w:t>
      </w:r>
    </w:p>
    <w:p w:rsidR="0031642D" w:rsidRPr="00DC2F10" w:rsidRDefault="0031642D" w:rsidP="0031642D">
      <w:pPr>
        <w:pStyle w:val="ECCParagraph"/>
        <w:spacing w:after="120"/>
        <w:rPr>
          <w:rFonts w:cs="Arial"/>
          <w:szCs w:val="20"/>
        </w:rPr>
      </w:pPr>
      <w:r w:rsidRPr="00DC2F10">
        <w:rPr>
          <w:rFonts w:cs="Arial"/>
          <w:szCs w:val="20"/>
        </w:rPr>
        <w:t xml:space="preserve">Recommendation ITU-R F.240-7 </w:t>
      </w:r>
      <w:r w:rsidRPr="00DC2F10">
        <w:rPr>
          <w:rFonts w:cs="Arial"/>
          <w:szCs w:val="20"/>
          <w:lang w:val="en-US"/>
        </w:rPr>
        <w:t>Signal-to-interference protection ratios for various classes of emission in the fixed service below about 30 MHz</w:t>
      </w:r>
      <w:r w:rsidRPr="00DC2F10">
        <w:rPr>
          <w:rFonts w:cs="Arial"/>
          <w:szCs w:val="20"/>
        </w:rPr>
        <w:t>;</w:t>
      </w:r>
    </w:p>
    <w:p w:rsidR="0031642D" w:rsidRDefault="0031642D" w:rsidP="0031642D">
      <w:pPr>
        <w:pStyle w:val="ECCParagraph"/>
        <w:spacing w:after="120"/>
        <w:rPr>
          <w:rFonts w:cs="Arial"/>
          <w:szCs w:val="20"/>
        </w:rPr>
      </w:pPr>
      <w:r w:rsidRPr="00DC2F10">
        <w:rPr>
          <w:rFonts w:cs="Arial"/>
          <w:szCs w:val="20"/>
        </w:rPr>
        <w:t xml:space="preserve">Recommendation ITU-R F.339-7 </w:t>
      </w:r>
      <w:r w:rsidRPr="00DC2F10">
        <w:rPr>
          <w:rFonts w:cs="Arial"/>
          <w:szCs w:val="20"/>
          <w:lang w:val="en-US"/>
        </w:rPr>
        <w:t>Bandwidths, signal-to-noise ratios and fading allowances in complete systems</w:t>
      </w:r>
      <w:r w:rsidRPr="00DC2F10">
        <w:rPr>
          <w:rFonts w:cs="Arial"/>
          <w:szCs w:val="20"/>
        </w:rPr>
        <w:t>;</w:t>
      </w:r>
    </w:p>
    <w:p w:rsidR="0031642D" w:rsidRDefault="0031642D" w:rsidP="0031642D">
      <w:pPr>
        <w:pStyle w:val="ECCParagraph"/>
        <w:spacing w:after="120"/>
        <w:rPr>
          <w:rFonts w:cs="Arial"/>
          <w:szCs w:val="20"/>
        </w:rPr>
      </w:pPr>
      <w:r>
        <w:rPr>
          <w:rFonts w:cs="Arial"/>
          <w:szCs w:val="20"/>
          <w:lang w:val="en-US"/>
        </w:rPr>
        <w:t>Recommendation ITU-R SM.1541-4 Unwanted emissions in the out-of-band domain;</w:t>
      </w:r>
    </w:p>
    <w:p w:rsidR="0031642D" w:rsidRPr="00F0180C" w:rsidRDefault="0031642D" w:rsidP="0031642D">
      <w:pPr>
        <w:pStyle w:val="ECCParagraph"/>
        <w:spacing w:after="120"/>
        <w:rPr>
          <w:rFonts w:cs="Arial"/>
          <w:szCs w:val="20"/>
          <w:lang w:val="en-US"/>
        </w:rPr>
      </w:pPr>
      <w:r>
        <w:rPr>
          <w:rFonts w:cs="Arial"/>
          <w:szCs w:val="20"/>
          <w:lang w:val="en-US"/>
        </w:rPr>
        <w:t xml:space="preserve">Recommendation ITU-R M.1732-1 </w:t>
      </w:r>
      <w:r w:rsidRPr="00F0180C">
        <w:rPr>
          <w:rFonts w:cs="Arial"/>
          <w:szCs w:val="20"/>
          <w:lang w:val="en-US"/>
        </w:rPr>
        <w:t>Characteristics of systems operating in the amateur and amateur-satellite services for use in sharing studies</w:t>
      </w:r>
      <w:r>
        <w:rPr>
          <w:rFonts w:cs="Arial"/>
          <w:szCs w:val="20"/>
          <w:lang w:val="en-US"/>
        </w:rPr>
        <w:t>;</w:t>
      </w:r>
    </w:p>
    <w:p w:rsidR="0031642D" w:rsidRPr="00DC2F10" w:rsidRDefault="0031642D" w:rsidP="0031642D">
      <w:pPr>
        <w:pStyle w:val="ECCParagraph"/>
        <w:spacing w:after="120"/>
        <w:rPr>
          <w:rFonts w:cs="Arial"/>
          <w:szCs w:val="20"/>
        </w:rPr>
      </w:pPr>
      <w:r w:rsidRPr="00DC2F10">
        <w:rPr>
          <w:rFonts w:cs="Arial"/>
          <w:szCs w:val="20"/>
        </w:rPr>
        <w:t>Recommendation ITU-R F.1761 Characteristics of HF fixed radiocommunication systems;</w:t>
      </w:r>
    </w:p>
    <w:p w:rsidR="0031642D" w:rsidRPr="00DC2F10" w:rsidRDefault="0031642D" w:rsidP="0031642D">
      <w:pPr>
        <w:pStyle w:val="ECCParagraph"/>
        <w:spacing w:after="120"/>
        <w:rPr>
          <w:rFonts w:cs="Arial"/>
          <w:szCs w:val="20"/>
        </w:rPr>
      </w:pPr>
      <w:r>
        <w:rPr>
          <w:rFonts w:cs="Arial"/>
          <w:szCs w:val="20"/>
        </w:rPr>
        <w:t xml:space="preserve">Recommendation ITU-R </w:t>
      </w:r>
      <w:r w:rsidRPr="00DC2F10">
        <w:rPr>
          <w:rFonts w:cs="Arial"/>
          <w:szCs w:val="20"/>
        </w:rPr>
        <w:t>F.1762 Characteristics of enhanced applications for high frequency (HF) radiocommunication systems;</w:t>
      </w:r>
    </w:p>
    <w:p w:rsidR="0031642D" w:rsidRPr="00DC2F10" w:rsidRDefault="0031642D" w:rsidP="0031642D">
      <w:pPr>
        <w:pStyle w:val="ECCParagraph"/>
        <w:spacing w:after="120"/>
        <w:rPr>
          <w:rFonts w:cs="Arial"/>
          <w:szCs w:val="20"/>
        </w:rPr>
      </w:pPr>
      <w:r w:rsidRPr="00DC2F10">
        <w:rPr>
          <w:rFonts w:cs="Arial"/>
          <w:szCs w:val="20"/>
        </w:rPr>
        <w:t>Recommendation ITU-R F.1821 Characteristics of improved digital high frequency (HF) radiocommunication systems ;</w:t>
      </w:r>
    </w:p>
    <w:p w:rsidR="0031642D" w:rsidRPr="00DC2F10" w:rsidRDefault="0031642D" w:rsidP="0031642D">
      <w:pPr>
        <w:pStyle w:val="ECCParagraph"/>
        <w:spacing w:after="120"/>
        <w:rPr>
          <w:rFonts w:cs="Arial"/>
          <w:szCs w:val="20"/>
        </w:rPr>
      </w:pPr>
      <w:r w:rsidRPr="00DC2F10">
        <w:rPr>
          <w:rFonts w:cs="Arial"/>
          <w:szCs w:val="20"/>
        </w:rPr>
        <w:t>Recommendation ITU-R M.1795 Technical and operational characteristics of SF/HF land mobile systems;</w:t>
      </w:r>
    </w:p>
    <w:p w:rsidR="0031642D" w:rsidRDefault="0031642D" w:rsidP="0031642D">
      <w:pPr>
        <w:pStyle w:val="ECCParagraph"/>
        <w:spacing w:after="120"/>
        <w:rPr>
          <w:rFonts w:cs="Arial"/>
          <w:szCs w:val="20"/>
        </w:rPr>
      </w:pPr>
      <w:r w:rsidRPr="00DC2F10">
        <w:rPr>
          <w:rFonts w:cs="Arial"/>
          <w:szCs w:val="20"/>
        </w:rPr>
        <w:t>Recommendation ITU-R P.533-11 Methodology for prediction of HF-links operational characteristics;</w:t>
      </w:r>
    </w:p>
    <w:p w:rsidR="003B7E8F" w:rsidRPr="00DC2F10" w:rsidRDefault="003B7E8F" w:rsidP="0031642D">
      <w:pPr>
        <w:pStyle w:val="ECCParagraph"/>
        <w:spacing w:after="120"/>
        <w:rPr>
          <w:rFonts w:cs="Arial"/>
          <w:szCs w:val="20"/>
        </w:rPr>
      </w:pPr>
    </w:p>
    <w:p w:rsidR="003B7E8F" w:rsidRPr="003B7E8F" w:rsidRDefault="003B7E8F" w:rsidP="003B7E8F">
      <w:pPr>
        <w:pStyle w:val="ECCParagraph"/>
        <w:rPr>
          <w:b/>
        </w:rPr>
      </w:pPr>
      <w:r w:rsidRPr="003B7E8F">
        <w:rPr>
          <w:b/>
        </w:rPr>
        <w:t xml:space="preserve">ITU-Reports: </w:t>
      </w:r>
    </w:p>
    <w:p w:rsidR="003B7E8F" w:rsidRPr="00DC2F10" w:rsidRDefault="003B7E8F" w:rsidP="003B7E8F">
      <w:pPr>
        <w:pStyle w:val="ECCParagraph"/>
        <w:spacing w:after="120"/>
        <w:rPr>
          <w:rFonts w:cs="Arial"/>
          <w:szCs w:val="20"/>
          <w:lang w:val="en-US"/>
        </w:rPr>
      </w:pPr>
      <w:r w:rsidRPr="00DC2F10">
        <w:rPr>
          <w:rFonts w:cs="Arial"/>
          <w:szCs w:val="20"/>
        </w:rPr>
        <w:t xml:space="preserve">Working Document towards Preliminary Draft New Report ITU-R M.[5 MHZ CHAR], </w:t>
      </w:r>
      <w:r w:rsidRPr="00DC2F10">
        <w:rPr>
          <w:rFonts w:cs="Arial"/>
          <w:szCs w:val="20"/>
          <w:lang w:val="en-US"/>
        </w:rPr>
        <w:t xml:space="preserve">“Characteristics of amateur radio stations in the range 5 250-5 450 kHz for sharing studies”.  </w:t>
      </w:r>
    </w:p>
    <w:p w:rsidR="003B7E8F" w:rsidRPr="00DC2F10" w:rsidRDefault="003B7E8F" w:rsidP="003B7E8F">
      <w:pPr>
        <w:pStyle w:val="ECCParagraph"/>
        <w:spacing w:after="120"/>
        <w:rPr>
          <w:rFonts w:cs="Arial"/>
          <w:szCs w:val="20"/>
        </w:rPr>
      </w:pPr>
      <w:r w:rsidRPr="00DC2F10">
        <w:rPr>
          <w:rFonts w:cs="Arial"/>
          <w:szCs w:val="20"/>
        </w:rPr>
        <w:t xml:space="preserve">Working Document towards Preliminary Draft New Report ITU-R </w:t>
      </w:r>
      <w:r w:rsidRPr="00DC2F10">
        <w:rPr>
          <w:rFonts w:cs="Arial"/>
          <w:szCs w:val="20"/>
          <w:lang w:val="ru-RU"/>
        </w:rPr>
        <w:t>М</w:t>
      </w:r>
      <w:r w:rsidRPr="003E5E6B">
        <w:rPr>
          <w:rFonts w:cs="Arial"/>
          <w:szCs w:val="20"/>
          <w:lang w:val="en-US"/>
        </w:rPr>
        <w:t>.</w:t>
      </w:r>
      <w:r w:rsidRPr="00DC2F10">
        <w:rPr>
          <w:rFonts w:cs="Arial"/>
          <w:szCs w:val="20"/>
        </w:rPr>
        <w:t>[AMATEUR]</w:t>
      </w:r>
    </w:p>
    <w:p w:rsidR="003B7E8F" w:rsidRPr="00DC2F10" w:rsidRDefault="003B7E8F" w:rsidP="003B7E8F">
      <w:pPr>
        <w:pStyle w:val="ECCParagraph"/>
        <w:spacing w:after="120"/>
        <w:rPr>
          <w:rFonts w:cs="Arial"/>
          <w:szCs w:val="20"/>
        </w:rPr>
      </w:pPr>
      <w:r w:rsidRPr="00DC2F10">
        <w:rPr>
          <w:rFonts w:cs="Arial"/>
          <w:szCs w:val="20"/>
        </w:rPr>
        <w:t>Working Document towards Preliminary Draft New Report ITU-R M.[HF-SPECTRAL OCCUPANCY]</w:t>
      </w:r>
    </w:p>
    <w:p w:rsidR="003B7E8F" w:rsidRPr="00DC2F10" w:rsidRDefault="003B7E8F" w:rsidP="003B7E8F">
      <w:pPr>
        <w:pStyle w:val="ECCParagraph"/>
        <w:spacing w:after="120"/>
        <w:rPr>
          <w:rFonts w:cs="Arial"/>
          <w:szCs w:val="20"/>
        </w:rPr>
      </w:pPr>
      <w:r w:rsidRPr="00DC2F10">
        <w:rPr>
          <w:rFonts w:cs="Arial"/>
          <w:szCs w:val="20"/>
        </w:rPr>
        <w:t>Working Document towards the Draft CPM text for WRC-15 Agenda item 1.4</w:t>
      </w:r>
    </w:p>
    <w:p w:rsidR="0031642D" w:rsidRDefault="0031642D" w:rsidP="0031642D">
      <w:pPr>
        <w:pStyle w:val="ECCParagraph"/>
        <w:spacing w:after="120"/>
        <w:rPr>
          <w:rFonts w:cs="Arial"/>
          <w:szCs w:val="20"/>
          <w:lang w:val="en-US"/>
        </w:rPr>
      </w:pPr>
    </w:p>
    <w:p w:rsidR="0031642D" w:rsidRPr="003B7E8F" w:rsidRDefault="00F63AED" w:rsidP="006E334C">
      <w:pPr>
        <w:pStyle w:val="ECCParagraph"/>
        <w:rPr>
          <w:b/>
        </w:rPr>
      </w:pPr>
      <w:r w:rsidRPr="003B7E8F">
        <w:rPr>
          <w:b/>
        </w:rPr>
        <w:t>Other</w:t>
      </w:r>
      <w:r w:rsidR="0031642D" w:rsidRPr="003B7E8F">
        <w:rPr>
          <w:b/>
        </w:rPr>
        <w:t xml:space="preserve"> ITU documents: </w:t>
      </w:r>
    </w:p>
    <w:p w:rsidR="0031642D" w:rsidRPr="00DC2F10" w:rsidRDefault="0031642D" w:rsidP="0031642D">
      <w:pPr>
        <w:pStyle w:val="ECCParagraph"/>
        <w:spacing w:after="120"/>
        <w:rPr>
          <w:rFonts w:cs="Arial"/>
          <w:bCs/>
          <w:szCs w:val="20"/>
          <w:lang w:val="en-US"/>
        </w:rPr>
      </w:pPr>
      <w:r w:rsidRPr="00DC2F10">
        <w:rPr>
          <w:rFonts w:cs="Arial"/>
          <w:bCs/>
          <w:szCs w:val="20"/>
          <w:lang w:val="en-US"/>
        </w:rPr>
        <w:t>Amateur and amateur-satellite services Handbook</w:t>
      </w:r>
    </w:p>
    <w:p w:rsidR="0031642D" w:rsidRPr="00DC2F10" w:rsidRDefault="0031642D" w:rsidP="0031642D">
      <w:pPr>
        <w:pStyle w:val="ECCParagraph"/>
        <w:spacing w:after="120"/>
        <w:rPr>
          <w:rFonts w:cs="Arial"/>
          <w:szCs w:val="20"/>
        </w:rPr>
      </w:pPr>
      <w:r w:rsidRPr="00DC2F10">
        <w:rPr>
          <w:rFonts w:cs="Arial"/>
          <w:szCs w:val="20"/>
        </w:rPr>
        <w:t>Work plan for WRC-15 Agenda item 1.4</w:t>
      </w:r>
    </w:p>
    <w:p w:rsidR="0031642D" w:rsidRPr="00DC2F10" w:rsidRDefault="0031642D" w:rsidP="0031642D">
      <w:pPr>
        <w:pStyle w:val="ECCParagraph"/>
        <w:spacing w:after="120"/>
        <w:rPr>
          <w:rFonts w:cs="Arial"/>
          <w:b/>
          <w:szCs w:val="20"/>
        </w:rPr>
      </w:pPr>
      <w:r w:rsidRPr="00DC2F10">
        <w:rPr>
          <w:rFonts w:cs="Arial"/>
          <w:szCs w:val="20"/>
        </w:rPr>
        <w:t xml:space="preserve">Resolution </w:t>
      </w:r>
      <w:r w:rsidRPr="00DC2F10">
        <w:rPr>
          <w:rFonts w:cs="Arial"/>
          <w:b/>
          <w:szCs w:val="20"/>
        </w:rPr>
        <w:t>649 (WRC-12)</w:t>
      </w:r>
    </w:p>
    <w:p w:rsidR="00F63AED" w:rsidRPr="00DC2F10" w:rsidRDefault="00F63AED" w:rsidP="00F63AED">
      <w:pPr>
        <w:pStyle w:val="ECCParagraph"/>
        <w:spacing w:after="120"/>
        <w:rPr>
          <w:rFonts w:cs="Arial"/>
          <w:szCs w:val="20"/>
          <w:lang w:val="en-US"/>
        </w:rPr>
      </w:pPr>
    </w:p>
    <w:p w:rsidR="00F63AED" w:rsidRPr="003B7E8F" w:rsidRDefault="00F63AED" w:rsidP="00F63AED">
      <w:pPr>
        <w:pStyle w:val="ECCParagraph"/>
        <w:rPr>
          <w:b/>
        </w:rPr>
      </w:pPr>
      <w:r w:rsidRPr="003B7E8F">
        <w:rPr>
          <w:b/>
        </w:rPr>
        <w:t>CEPT and/or ECC Documentation (Decisions, Recommendations, Reports):</w:t>
      </w:r>
    </w:p>
    <w:p w:rsidR="0031642D" w:rsidRPr="00DC2F10" w:rsidRDefault="0031642D" w:rsidP="0031642D">
      <w:pPr>
        <w:pStyle w:val="ECCParagraph"/>
        <w:spacing w:after="120"/>
        <w:rPr>
          <w:rFonts w:cs="Arial"/>
          <w:szCs w:val="20"/>
          <w:lang w:val="en-US"/>
        </w:rPr>
      </w:pPr>
    </w:p>
    <w:p w:rsidR="0031642D" w:rsidRPr="003B7E8F" w:rsidRDefault="00F63AED" w:rsidP="00F63AED">
      <w:pPr>
        <w:pStyle w:val="ECCParagraph"/>
        <w:rPr>
          <w:b/>
        </w:rPr>
      </w:pPr>
      <w:r w:rsidRPr="003B7E8F">
        <w:rPr>
          <w:b/>
        </w:rPr>
        <w:t>EU Documentation (Directives, Decisions, Recommendations, other), if applicable</w:t>
      </w:r>
      <w:r w:rsidR="0031642D" w:rsidRPr="003B7E8F">
        <w:rPr>
          <w:b/>
        </w:rPr>
        <w:t>:</w:t>
      </w:r>
    </w:p>
    <w:p w:rsidR="009744B4" w:rsidRPr="00121C7E" w:rsidRDefault="009744B4" w:rsidP="009744B4">
      <w:pPr>
        <w:pStyle w:val="Heading1"/>
      </w:pPr>
      <w:r w:rsidRPr="00121C7E">
        <w:t>Actions to be taken</w:t>
      </w:r>
    </w:p>
    <w:p w:rsidR="0031642D" w:rsidRDefault="0031642D" w:rsidP="0031642D">
      <w:pPr>
        <w:pStyle w:val="ECCParBulleted"/>
        <w:numPr>
          <w:ilvl w:val="0"/>
          <w:numId w:val="19"/>
        </w:numPr>
        <w:spacing w:after="120"/>
      </w:pPr>
      <w:r>
        <w:t>D</w:t>
      </w:r>
      <w:r w:rsidRPr="00F0180C">
        <w:t>evelop spectrum requirement</w:t>
      </w:r>
      <w:r>
        <w:t>s for the amateur service</w:t>
      </w:r>
      <w:r w:rsidRPr="00F0180C">
        <w:t>;</w:t>
      </w:r>
    </w:p>
    <w:p w:rsidR="0031642D" w:rsidRDefault="0031642D" w:rsidP="0031642D">
      <w:pPr>
        <w:pStyle w:val="ECCParBulleted"/>
        <w:numPr>
          <w:ilvl w:val="0"/>
          <w:numId w:val="19"/>
        </w:numPr>
        <w:spacing w:after="120"/>
      </w:pPr>
      <w:r>
        <w:t xml:space="preserve">Specify </w:t>
      </w:r>
      <w:r w:rsidRPr="00855E0C">
        <w:rPr>
          <w:rFonts w:cs="Arial"/>
          <w:szCs w:val="20"/>
        </w:rPr>
        <w:t>technical and operational characteristics for amateur communication systems</w:t>
      </w:r>
      <w:r w:rsidRPr="00F0180C">
        <w:t xml:space="preserve"> </w:t>
      </w:r>
      <w:r>
        <w:t>in the proposed band;</w:t>
      </w:r>
    </w:p>
    <w:p w:rsidR="0031642D" w:rsidRDefault="0031642D" w:rsidP="0031642D">
      <w:pPr>
        <w:pStyle w:val="ECCParBulleted"/>
        <w:numPr>
          <w:ilvl w:val="0"/>
          <w:numId w:val="19"/>
        </w:numPr>
        <w:spacing w:after="120"/>
      </w:pPr>
      <w:r>
        <w:t xml:space="preserve">Specify </w:t>
      </w:r>
      <w:r w:rsidRPr="00855E0C">
        <w:rPr>
          <w:rFonts w:cs="Arial"/>
          <w:szCs w:val="20"/>
        </w:rPr>
        <w:t xml:space="preserve">technical characteristics and protection criteria for systems of </w:t>
      </w:r>
      <w:r w:rsidRPr="00F0180C">
        <w:t>existing services</w:t>
      </w:r>
      <w:r>
        <w:t xml:space="preserve"> in the proposed band;</w:t>
      </w:r>
    </w:p>
    <w:p w:rsidR="0031642D" w:rsidRDefault="0031642D" w:rsidP="0031642D">
      <w:pPr>
        <w:pStyle w:val="ECCParBulleted"/>
        <w:numPr>
          <w:ilvl w:val="0"/>
          <w:numId w:val="19"/>
        </w:numPr>
        <w:spacing w:after="120"/>
      </w:pPr>
      <w:r>
        <w:t>C</w:t>
      </w:r>
      <w:r w:rsidRPr="00F0180C">
        <w:t xml:space="preserve">onduct compatibility studies based on </w:t>
      </w:r>
      <w:r>
        <w:t xml:space="preserve">characteristics, </w:t>
      </w:r>
      <w:r w:rsidRPr="00F0180C">
        <w:t>protection criteria and interference scenario’s</w:t>
      </w:r>
      <w:r>
        <w:t>;</w:t>
      </w:r>
    </w:p>
    <w:p w:rsidR="0031642D" w:rsidRPr="00855E0C" w:rsidRDefault="0031642D" w:rsidP="0031642D">
      <w:pPr>
        <w:pStyle w:val="ECCParBulleted"/>
        <w:numPr>
          <w:ilvl w:val="0"/>
          <w:numId w:val="19"/>
        </w:numPr>
        <w:spacing w:after="120"/>
      </w:pPr>
      <w:r>
        <w:t>D</w:t>
      </w:r>
      <w:r w:rsidRPr="00F0180C">
        <w:t xml:space="preserve">evelop the </w:t>
      </w:r>
      <w:r>
        <w:t>CEPT position for this Agenda Item</w:t>
      </w:r>
    </w:p>
    <w:p w:rsidR="009744B4" w:rsidRPr="00121C7E" w:rsidRDefault="009744B4" w:rsidP="009744B4">
      <w:pPr>
        <w:pStyle w:val="Heading1"/>
      </w:pPr>
      <w:r w:rsidRPr="00121C7E">
        <w:lastRenderedPageBreak/>
        <w:t>Relevant information from outside CEPT (</w:t>
      </w:r>
      <w:r w:rsidR="0017055A" w:rsidRPr="00121C7E">
        <w:rPr>
          <w:caps w:val="0"/>
        </w:rPr>
        <w:t>examples of these are below</w:t>
      </w:r>
      <w:r w:rsidRPr="00121C7E">
        <w:t>)</w:t>
      </w:r>
    </w:p>
    <w:p w:rsidR="009744B4" w:rsidRPr="00121C7E" w:rsidRDefault="009744B4" w:rsidP="009744B4">
      <w:pPr>
        <w:pStyle w:val="Heading2"/>
        <w:rPr>
          <w:lang w:val="en-GB"/>
        </w:rPr>
      </w:pPr>
      <w:r w:rsidRPr="00121C7E">
        <w:rPr>
          <w:lang w:val="en-GB"/>
        </w:rPr>
        <w:t>European Union (</w:t>
      </w:r>
      <w:r w:rsidR="0017055A" w:rsidRPr="00121C7E">
        <w:rPr>
          <w:caps w:val="0"/>
          <w:lang w:val="en-GB"/>
        </w:rPr>
        <w:t>date of proposal</w:t>
      </w:r>
      <w:r w:rsidRPr="00121C7E">
        <w:rPr>
          <w:lang w:val="en-GB"/>
        </w:rPr>
        <w:t>)</w:t>
      </w:r>
    </w:p>
    <w:p w:rsidR="0017055A" w:rsidRPr="00121C7E" w:rsidRDefault="0017055A" w:rsidP="0017055A">
      <w:pPr>
        <w:pStyle w:val="ECCParagraph"/>
      </w:pPr>
    </w:p>
    <w:p w:rsidR="009744B4" w:rsidRPr="00121C7E" w:rsidRDefault="009744B4" w:rsidP="009744B4">
      <w:pPr>
        <w:pStyle w:val="Heading2"/>
        <w:rPr>
          <w:lang w:val="en-GB"/>
        </w:rPr>
      </w:pPr>
      <w:r w:rsidRPr="00121C7E">
        <w:rPr>
          <w:lang w:val="en-GB"/>
        </w:rPr>
        <w:t xml:space="preserve">Regional telecommunication organisations: </w:t>
      </w:r>
    </w:p>
    <w:p w:rsidR="009744B4" w:rsidRPr="00121C7E" w:rsidRDefault="009744B4" w:rsidP="009744B4">
      <w:pPr>
        <w:pStyle w:val="ECCParagraph"/>
      </w:pPr>
    </w:p>
    <w:p w:rsidR="009744B4" w:rsidRPr="00121C7E" w:rsidRDefault="009744B4" w:rsidP="009744B4">
      <w:pPr>
        <w:pStyle w:val="ECCParagraph"/>
      </w:pPr>
      <w:r w:rsidRPr="00121C7E">
        <w:t>APT (date of proposal)</w:t>
      </w:r>
    </w:p>
    <w:p w:rsidR="009744B4" w:rsidRPr="00121C7E" w:rsidRDefault="009744B4" w:rsidP="009744B4">
      <w:pPr>
        <w:pStyle w:val="ECCParagraph"/>
      </w:pPr>
    </w:p>
    <w:p w:rsidR="009744B4" w:rsidRPr="00121C7E" w:rsidRDefault="009744B4" w:rsidP="009744B4">
      <w:pPr>
        <w:pStyle w:val="ECCParagraph"/>
      </w:pPr>
      <w:r w:rsidRPr="00121C7E">
        <w:t>ATU (date of proposal)</w:t>
      </w:r>
    </w:p>
    <w:p w:rsidR="009744B4" w:rsidRPr="00121C7E" w:rsidRDefault="009744B4" w:rsidP="009744B4">
      <w:pPr>
        <w:pStyle w:val="ECCParagraph"/>
      </w:pPr>
    </w:p>
    <w:p w:rsidR="009744B4" w:rsidRPr="00121C7E" w:rsidRDefault="009744B4" w:rsidP="009744B4">
      <w:pPr>
        <w:pStyle w:val="ECCParagraph"/>
      </w:pPr>
      <w:r w:rsidRPr="00121C7E">
        <w:t>Arab Group (date of proposal)</w:t>
      </w:r>
    </w:p>
    <w:p w:rsidR="009744B4" w:rsidRPr="00121C7E" w:rsidRDefault="009744B4" w:rsidP="009744B4">
      <w:pPr>
        <w:pStyle w:val="ECCParagraph"/>
      </w:pPr>
    </w:p>
    <w:p w:rsidR="009744B4" w:rsidRPr="00121C7E" w:rsidRDefault="009744B4" w:rsidP="009744B4">
      <w:pPr>
        <w:pStyle w:val="ECCParagraph"/>
      </w:pPr>
      <w:r w:rsidRPr="00121C7E">
        <w:t>CITEL (date of proposal)</w:t>
      </w:r>
    </w:p>
    <w:p w:rsidR="009744B4" w:rsidRPr="00121C7E" w:rsidRDefault="009744B4" w:rsidP="009744B4">
      <w:pPr>
        <w:pStyle w:val="ECCParagraph"/>
      </w:pPr>
    </w:p>
    <w:p w:rsidR="009744B4" w:rsidRPr="00121C7E" w:rsidRDefault="009744B4" w:rsidP="009744B4">
      <w:pPr>
        <w:pStyle w:val="ECCParagraph"/>
      </w:pPr>
      <w:r w:rsidRPr="00121C7E">
        <w:t>RCC (date of proposal)</w:t>
      </w:r>
    </w:p>
    <w:p w:rsidR="009744B4" w:rsidRPr="00121C7E" w:rsidRDefault="009744B4" w:rsidP="009744B4">
      <w:pPr>
        <w:pStyle w:val="ECCParagraph"/>
      </w:pPr>
    </w:p>
    <w:p w:rsidR="00F735BC" w:rsidRPr="00121C7E" w:rsidRDefault="00F735BC" w:rsidP="00F735BC">
      <w:pPr>
        <w:pStyle w:val="Heading2"/>
        <w:rPr>
          <w:lang w:val="en-GB"/>
        </w:rPr>
      </w:pPr>
      <w:r w:rsidRPr="00121C7E">
        <w:rPr>
          <w:lang w:val="en-GB"/>
        </w:rPr>
        <w:t>International organisations</w:t>
      </w:r>
    </w:p>
    <w:p w:rsidR="00F735BC" w:rsidRPr="00121C7E" w:rsidRDefault="00F735BC" w:rsidP="00F735BC">
      <w:pPr>
        <w:pStyle w:val="ECCParagraph"/>
      </w:pPr>
    </w:p>
    <w:p w:rsidR="00F735BC" w:rsidRPr="00121C7E" w:rsidRDefault="00F735BC" w:rsidP="00F735BC">
      <w:pPr>
        <w:pStyle w:val="ECCParagraph"/>
      </w:pPr>
      <w:r w:rsidRPr="00121C7E">
        <w:t>IATA (date of proposal)</w:t>
      </w:r>
    </w:p>
    <w:p w:rsidR="00F735BC" w:rsidRPr="00121C7E" w:rsidRDefault="00F735BC" w:rsidP="00F735BC">
      <w:pPr>
        <w:pStyle w:val="ECCParagraph"/>
      </w:pPr>
    </w:p>
    <w:p w:rsidR="00A74DAC" w:rsidRDefault="00A74DAC" w:rsidP="00A74DAC">
      <w:pPr>
        <w:pStyle w:val="ECCParagraph"/>
      </w:pPr>
      <w:r>
        <w:t>ICAO (28 November 2012)</w:t>
      </w:r>
    </w:p>
    <w:p w:rsidR="00A74DAC" w:rsidRDefault="00A74DAC" w:rsidP="00A74DAC">
      <w:pPr>
        <w:pStyle w:val="ECCParagraph"/>
      </w:pPr>
      <w:r>
        <w:t>Preliminary position</w:t>
      </w:r>
    </w:p>
    <w:p w:rsidR="00F735BC" w:rsidRDefault="00A74DAC" w:rsidP="00A74DAC">
      <w:pPr>
        <w:pStyle w:val="ECCParagraph"/>
      </w:pPr>
      <w:r>
        <w:t>To ensure that any allocation made to the amateur service shall not cause harmful interference to the operation of aeronautical systems operating under the allocation to the aeronautical mobile (R) service in the adjacent frequency band 5 450 – 5 480 kHz in Region 2.</w:t>
      </w:r>
    </w:p>
    <w:p w:rsidR="00A74DAC" w:rsidRPr="00A74DAC" w:rsidRDefault="00A74DAC" w:rsidP="00A74DAC">
      <w:pPr>
        <w:pStyle w:val="ECCParagraph"/>
        <w:rPr>
          <w:lang w:val="en-US"/>
        </w:rPr>
      </w:pPr>
    </w:p>
    <w:p w:rsidR="00F735BC" w:rsidRPr="00121C7E" w:rsidRDefault="00F735BC" w:rsidP="00F735BC">
      <w:pPr>
        <w:pStyle w:val="ECCParagraph"/>
      </w:pPr>
      <w:r w:rsidRPr="00121C7E">
        <w:t>IMO (date of proposal)</w:t>
      </w:r>
    </w:p>
    <w:p w:rsidR="00F735BC" w:rsidRPr="00121C7E" w:rsidRDefault="00F735BC" w:rsidP="00F735BC">
      <w:pPr>
        <w:pStyle w:val="ECCParagraph"/>
      </w:pPr>
    </w:p>
    <w:p w:rsidR="00F735BC" w:rsidRPr="00121C7E" w:rsidRDefault="00F735BC" w:rsidP="00F735BC">
      <w:pPr>
        <w:pStyle w:val="ECCParagraph"/>
      </w:pPr>
      <w:r w:rsidRPr="00121C7E">
        <w:t>NATO (date of proposal)</w:t>
      </w:r>
    </w:p>
    <w:p w:rsidR="00F735BC" w:rsidRPr="00121C7E" w:rsidRDefault="00F735BC" w:rsidP="00F735BC">
      <w:pPr>
        <w:pStyle w:val="ECCParagraph"/>
      </w:pPr>
    </w:p>
    <w:p w:rsidR="00F735BC" w:rsidRPr="00121C7E" w:rsidRDefault="00F735BC" w:rsidP="00F735BC">
      <w:pPr>
        <w:pStyle w:val="ECCParagraph"/>
      </w:pPr>
      <w:r w:rsidRPr="00121C7E">
        <w:lastRenderedPageBreak/>
        <w:t>SFCG (date of proposal)</w:t>
      </w:r>
    </w:p>
    <w:p w:rsidR="00F735BC" w:rsidRPr="00121C7E" w:rsidRDefault="00F735BC" w:rsidP="00F735BC">
      <w:pPr>
        <w:pStyle w:val="ECCParagraph"/>
      </w:pPr>
    </w:p>
    <w:p w:rsidR="00F735BC" w:rsidRPr="00121C7E" w:rsidRDefault="00F735BC" w:rsidP="00F735BC">
      <w:pPr>
        <w:pStyle w:val="ECCParagraph"/>
      </w:pPr>
      <w:r w:rsidRPr="00121C7E">
        <w:t>WMO and EUMETNET (date of proposal)</w:t>
      </w:r>
    </w:p>
    <w:p w:rsidR="009744B4" w:rsidRPr="00121C7E" w:rsidRDefault="009744B4" w:rsidP="009744B4">
      <w:pPr>
        <w:pStyle w:val="ECCParagraph"/>
      </w:pPr>
    </w:p>
    <w:p w:rsidR="00F735BC" w:rsidRPr="00121C7E" w:rsidRDefault="00F735BC" w:rsidP="00F735BC">
      <w:pPr>
        <w:pStyle w:val="Heading2"/>
        <w:rPr>
          <w:lang w:val="en-GB"/>
        </w:rPr>
      </w:pPr>
      <w:r w:rsidRPr="00121C7E">
        <w:rPr>
          <w:lang w:val="en-GB"/>
        </w:rPr>
        <w:t>Regional organisations</w:t>
      </w:r>
    </w:p>
    <w:p w:rsidR="00F735BC" w:rsidRPr="00121C7E" w:rsidRDefault="00F735BC" w:rsidP="00F735BC">
      <w:pPr>
        <w:pStyle w:val="ECCParagraph"/>
      </w:pPr>
    </w:p>
    <w:p w:rsidR="00F735BC" w:rsidRPr="00121C7E" w:rsidRDefault="00F735BC" w:rsidP="00F735BC">
      <w:pPr>
        <w:pStyle w:val="ECCParagraph"/>
      </w:pPr>
      <w:r w:rsidRPr="00121C7E">
        <w:t>ESA (date of proposal)</w:t>
      </w:r>
    </w:p>
    <w:p w:rsidR="00F735BC" w:rsidRPr="00121C7E" w:rsidRDefault="00F735BC" w:rsidP="00F735BC">
      <w:pPr>
        <w:pStyle w:val="ECCParagraph"/>
      </w:pPr>
    </w:p>
    <w:p w:rsidR="00F735BC" w:rsidRPr="00121C7E" w:rsidRDefault="00F735BC" w:rsidP="00F735BC">
      <w:pPr>
        <w:pStyle w:val="ECCParagraph"/>
      </w:pPr>
      <w:proofErr w:type="spellStart"/>
      <w:r w:rsidRPr="00121C7E">
        <w:t>Eurocontrol</w:t>
      </w:r>
      <w:proofErr w:type="spellEnd"/>
      <w:r w:rsidRPr="00121C7E">
        <w:t xml:space="preserve"> (date of proposal)</w:t>
      </w:r>
    </w:p>
    <w:p w:rsidR="009744B4" w:rsidRPr="00121C7E" w:rsidRDefault="009744B4" w:rsidP="00005CA4">
      <w:pPr>
        <w:pStyle w:val="ECCParagraph"/>
      </w:pPr>
    </w:p>
    <w:sectPr w:rsidR="009744B4" w:rsidRPr="00121C7E" w:rsidSect="006819A8">
      <w:headerReference w:type="even" r:id="rId9"/>
      <w:headerReference w:type="default" r:id="rId10"/>
      <w:footerReference w:type="even" r:id="rId11"/>
      <w:footerReference w:type="default" r:id="rId12"/>
      <w:headerReference w:type="first" r:id="rId13"/>
      <w:footerReference w:type="first" r:id="rId14"/>
      <w:pgSz w:w="11907" w:h="16840" w:code="9"/>
      <w:pgMar w:top="1440" w:right="1134" w:bottom="1440" w:left="1134"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BAB" w:rsidRDefault="00304BAB" w:rsidP="008A54FC">
      <w:r>
        <w:separator/>
      </w:r>
    </w:p>
  </w:endnote>
  <w:endnote w:type="continuationSeparator" w:id="0">
    <w:p w:rsidR="00304BAB" w:rsidRDefault="00304BAB"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59"/>
    <w:family w:val="auto"/>
    <w:pitch w:val="variable"/>
    <w:sig w:usb0="00000201" w:usb1="00000000" w:usb2="00000000" w:usb3="00000000" w:csb0="00000004" w:csb1="00000000"/>
  </w:font>
  <w:font w:name="Lucida Grande">
    <w:altName w:val="Times New Roman"/>
    <w:charset w:val="00"/>
    <w:family w:val="auto"/>
    <w:pitch w:val="variable"/>
    <w:sig w:usb0="00000000" w:usb1="5000A1FF" w:usb2="00000000" w:usb3="00000000" w:csb0="000001B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89E" w:rsidRDefault="003C68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89E" w:rsidRDefault="003C689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89E" w:rsidRDefault="003C68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BAB" w:rsidRDefault="00304BAB" w:rsidP="008A54FC">
      <w:r>
        <w:separator/>
      </w:r>
    </w:p>
  </w:footnote>
  <w:footnote w:type="continuationSeparator" w:id="0">
    <w:p w:rsidR="00304BAB" w:rsidRDefault="00304BAB"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7D79CB">
    <w:pPr>
      <w:pStyle w:val="Header"/>
      <w:rPr>
        <w:szCs w:val="16"/>
        <w:lang w:val="en-GB"/>
      </w:rPr>
    </w:pPr>
    <w:r>
      <w:rPr>
        <w:lang w:val="en-GB"/>
      </w:rPr>
      <w:t>Draft CEPT Brief on AI 1.4</w:t>
    </w:r>
    <w:r w:rsidR="00803F98" w:rsidRPr="005F4F01">
      <w:rPr>
        <w:lang w:val="en-GB"/>
      </w:rPr>
      <w:t xml:space="preserve"> </w:t>
    </w:r>
    <w:r w:rsidR="00803F98" w:rsidRPr="005F4F01">
      <w:rPr>
        <w:szCs w:val="16"/>
        <w:lang w:val="en-GB"/>
      </w:rPr>
      <w:t xml:space="preserve">Page </w:t>
    </w:r>
    <w:r w:rsidR="00803F98">
      <w:fldChar w:fldCharType="begin"/>
    </w:r>
    <w:r w:rsidR="00803F98">
      <w:instrText xml:space="preserve"> PAGE  \* Arabic  \* MERGEFORMAT </w:instrText>
    </w:r>
    <w:r w:rsidR="00803F98">
      <w:fldChar w:fldCharType="separate"/>
    </w:r>
    <w:r w:rsidR="00D30BD6">
      <w:rPr>
        <w:noProof/>
      </w:rPr>
      <w:t>4</w:t>
    </w:r>
    <w:r w:rsidR="00803F98">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E61D51" w:rsidP="008A54FC">
    <w:pPr>
      <w:pStyle w:val="Header"/>
      <w:jc w:val="right"/>
      <w:rPr>
        <w:szCs w:val="16"/>
        <w:lang w:val="en-GB"/>
      </w:rPr>
    </w:pPr>
    <w:r>
      <w:rPr>
        <w:lang w:val="en-GB"/>
      </w:rPr>
      <w:t>CPG(13)010 Annex 13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1223D0" w:rsidRDefault="00803F98"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14EC0"/>
    <w:multiLevelType w:val="hybridMultilevel"/>
    <w:tmpl w:val="E1EA5070"/>
    <w:lvl w:ilvl="0" w:tplc="86C6CC0E">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2">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3">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5">
    <w:nsid w:val="3D163F7A"/>
    <w:multiLevelType w:val="multilevel"/>
    <w:tmpl w:val="029C60C0"/>
    <w:lvl w:ilvl="0">
      <w:start w:val="1"/>
      <w:numFmt w:val="decimal"/>
      <w:pStyle w:val="Heading1"/>
      <w:lvlText w:val="%1."/>
      <w:lvlJc w:val="left"/>
      <w:pPr>
        <w:ind w:left="360" w:hanging="360"/>
      </w:pPr>
      <w:rPr>
        <w:rFonts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7">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4D25408B"/>
    <w:multiLevelType w:val="hybridMultilevel"/>
    <w:tmpl w:val="8FF41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2">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3">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4">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5">
    <w:nsid w:val="66E36C84"/>
    <w:multiLevelType w:val="multilevel"/>
    <w:tmpl w:val="FCEC7FBC"/>
    <w:numStyleLink w:val="ECCBullets"/>
  </w:abstractNum>
  <w:abstractNum w:abstractNumId="16">
    <w:nsid w:val="707767BF"/>
    <w:multiLevelType w:val="multilevel"/>
    <w:tmpl w:val="7060B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5"/>
  </w:num>
  <w:num w:numId="3">
    <w:abstractNumId w:val="18"/>
  </w:num>
  <w:num w:numId="4">
    <w:abstractNumId w:val="9"/>
  </w:num>
  <w:num w:numId="5">
    <w:abstractNumId w:val="3"/>
  </w:num>
  <w:num w:numId="6">
    <w:abstractNumId w:val="7"/>
  </w:num>
  <w:num w:numId="7">
    <w:abstractNumId w:val="7"/>
    <w:lvlOverride w:ilvl="0">
      <w:startOverride w:val="1"/>
    </w:lvlOverride>
  </w:num>
  <w:num w:numId="8">
    <w:abstractNumId w:val="1"/>
  </w:num>
  <w:num w:numId="9">
    <w:abstractNumId w:val="15"/>
  </w:num>
  <w:num w:numId="10">
    <w:abstractNumId w:val="13"/>
  </w:num>
  <w:num w:numId="11">
    <w:abstractNumId w:val="8"/>
  </w:num>
  <w:num w:numId="12">
    <w:abstractNumId w:val="4"/>
  </w:num>
  <w:num w:numId="13">
    <w:abstractNumId w:val="14"/>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6"/>
  </w:num>
  <w:num w:numId="20">
    <w:abstractNumId w:val="16"/>
  </w:num>
  <w:num w:numId="21">
    <w:abstractNumId w:val="10"/>
  </w:num>
  <w:num w:numId="2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EAA"/>
    <w:rsid w:val="00005CA4"/>
    <w:rsid w:val="00067793"/>
    <w:rsid w:val="00082DD7"/>
    <w:rsid w:val="000C028F"/>
    <w:rsid w:val="000D30EF"/>
    <w:rsid w:val="000E42F5"/>
    <w:rsid w:val="00105049"/>
    <w:rsid w:val="00121C7E"/>
    <w:rsid w:val="0017055A"/>
    <w:rsid w:val="00183FE0"/>
    <w:rsid w:val="00215236"/>
    <w:rsid w:val="00232C61"/>
    <w:rsid w:val="0024479C"/>
    <w:rsid w:val="00263BDF"/>
    <w:rsid w:val="00274F84"/>
    <w:rsid w:val="002930E9"/>
    <w:rsid w:val="0029448B"/>
    <w:rsid w:val="002A322A"/>
    <w:rsid w:val="002F48B7"/>
    <w:rsid w:val="002F5286"/>
    <w:rsid w:val="00304BAB"/>
    <w:rsid w:val="0031642D"/>
    <w:rsid w:val="00394C0D"/>
    <w:rsid w:val="003B7E8F"/>
    <w:rsid w:val="003C066E"/>
    <w:rsid w:val="003C689E"/>
    <w:rsid w:val="003D4741"/>
    <w:rsid w:val="004110CA"/>
    <w:rsid w:val="00490DA7"/>
    <w:rsid w:val="004B1D2B"/>
    <w:rsid w:val="00550D79"/>
    <w:rsid w:val="00557B5A"/>
    <w:rsid w:val="005748B5"/>
    <w:rsid w:val="00594186"/>
    <w:rsid w:val="005C10EB"/>
    <w:rsid w:val="005F4F01"/>
    <w:rsid w:val="006819A8"/>
    <w:rsid w:val="006E334C"/>
    <w:rsid w:val="007014FB"/>
    <w:rsid w:val="00734A4F"/>
    <w:rsid w:val="00763BA3"/>
    <w:rsid w:val="00767BB2"/>
    <w:rsid w:val="00780376"/>
    <w:rsid w:val="00797D4C"/>
    <w:rsid w:val="007B653A"/>
    <w:rsid w:val="007D19A1"/>
    <w:rsid w:val="007D79CB"/>
    <w:rsid w:val="00803F98"/>
    <w:rsid w:val="00882103"/>
    <w:rsid w:val="008A54FC"/>
    <w:rsid w:val="008A5EAA"/>
    <w:rsid w:val="008B70CD"/>
    <w:rsid w:val="008D26C5"/>
    <w:rsid w:val="008D450A"/>
    <w:rsid w:val="008F6CDE"/>
    <w:rsid w:val="00941FD2"/>
    <w:rsid w:val="009744B4"/>
    <w:rsid w:val="009E349D"/>
    <w:rsid w:val="009E47EB"/>
    <w:rsid w:val="00A076B5"/>
    <w:rsid w:val="00A679A0"/>
    <w:rsid w:val="00A74DAC"/>
    <w:rsid w:val="00A77047"/>
    <w:rsid w:val="00A95ACB"/>
    <w:rsid w:val="00AA086A"/>
    <w:rsid w:val="00AB52DA"/>
    <w:rsid w:val="00AB7E9F"/>
    <w:rsid w:val="00AF31D9"/>
    <w:rsid w:val="00B25463"/>
    <w:rsid w:val="00B30D3B"/>
    <w:rsid w:val="00B432D4"/>
    <w:rsid w:val="00BB6976"/>
    <w:rsid w:val="00C1412E"/>
    <w:rsid w:val="00C261B8"/>
    <w:rsid w:val="00CB6241"/>
    <w:rsid w:val="00D06D75"/>
    <w:rsid w:val="00D30BD6"/>
    <w:rsid w:val="00D8323A"/>
    <w:rsid w:val="00DD057B"/>
    <w:rsid w:val="00DF2C67"/>
    <w:rsid w:val="00E1123C"/>
    <w:rsid w:val="00E31065"/>
    <w:rsid w:val="00E45E7F"/>
    <w:rsid w:val="00E61D51"/>
    <w:rsid w:val="00E71AE7"/>
    <w:rsid w:val="00EA6088"/>
    <w:rsid w:val="00F63AED"/>
    <w:rsid w:val="00F735BC"/>
    <w:rsid w:val="00F93115"/>
    <w:rsid w:val="00F96759"/>
    <w:rsid w:val="00FA3E8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customStyle="1" w:styleId="Tablehead">
    <w:name w:val="Table_head"/>
    <w:basedOn w:val="Normal"/>
    <w:next w:val="Normal"/>
    <w:uiPriority w:val="99"/>
    <w:rsid w:val="00C261B8"/>
    <w:pPr>
      <w:keepNext/>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Bold" w:eastAsia="MS Mincho" w:hAnsi="Times New Roman Bold"/>
      <w:b/>
      <w:szCs w:val="20"/>
      <w:lang w:val="en-GB"/>
    </w:rPr>
  </w:style>
  <w:style w:type="character" w:customStyle="1" w:styleId="Tablefreq">
    <w:name w:val="Table_freq"/>
    <w:basedOn w:val="DefaultParagraphFont"/>
    <w:uiPriority w:val="99"/>
    <w:rsid w:val="00C261B8"/>
    <w:rPr>
      <w:b/>
      <w:color w:val="FFCC00"/>
    </w:rPr>
  </w:style>
  <w:style w:type="paragraph" w:customStyle="1" w:styleId="TableTextS5">
    <w:name w:val="Table_TextS5"/>
    <w:basedOn w:val="Normal"/>
    <w:uiPriority w:val="99"/>
    <w:rsid w:val="00C261B8"/>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ascii="Times New Roman" w:hAnsi="Times New Roman"/>
      <w:szCs w:val="20"/>
      <w:lang w:val="fr-FR"/>
    </w:rPr>
  </w:style>
  <w:style w:type="character" w:customStyle="1" w:styleId="Artref">
    <w:name w:val="Art_ref"/>
    <w:basedOn w:val="DefaultParagraphFont"/>
    <w:uiPriority w:val="99"/>
    <w:rsid w:val="00C261B8"/>
    <w:rPr>
      <w:color w:val="3366FF"/>
    </w:rPr>
  </w:style>
  <w:style w:type="character" w:customStyle="1" w:styleId="Artdef">
    <w:name w:val="Art_def"/>
    <w:basedOn w:val="DefaultParagraphFont"/>
    <w:uiPriority w:val="99"/>
    <w:rsid w:val="00C261B8"/>
    <w:rPr>
      <w:rFonts w:ascii="Times New Roman" w:hAnsi="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customStyle="1" w:styleId="Tablehead">
    <w:name w:val="Table_head"/>
    <w:basedOn w:val="Normal"/>
    <w:next w:val="Normal"/>
    <w:uiPriority w:val="99"/>
    <w:rsid w:val="00C261B8"/>
    <w:pPr>
      <w:keepNext/>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Bold" w:eastAsia="MS Mincho" w:hAnsi="Times New Roman Bold"/>
      <w:b/>
      <w:szCs w:val="20"/>
      <w:lang w:val="en-GB"/>
    </w:rPr>
  </w:style>
  <w:style w:type="character" w:customStyle="1" w:styleId="Tablefreq">
    <w:name w:val="Table_freq"/>
    <w:basedOn w:val="DefaultParagraphFont"/>
    <w:uiPriority w:val="99"/>
    <w:rsid w:val="00C261B8"/>
    <w:rPr>
      <w:b/>
      <w:color w:val="FFCC00"/>
    </w:rPr>
  </w:style>
  <w:style w:type="paragraph" w:customStyle="1" w:styleId="TableTextS5">
    <w:name w:val="Table_TextS5"/>
    <w:basedOn w:val="Normal"/>
    <w:uiPriority w:val="99"/>
    <w:rsid w:val="00C261B8"/>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ascii="Times New Roman" w:hAnsi="Times New Roman"/>
      <w:szCs w:val="20"/>
      <w:lang w:val="fr-FR"/>
    </w:rPr>
  </w:style>
  <w:style w:type="character" w:customStyle="1" w:styleId="Artref">
    <w:name w:val="Art_ref"/>
    <w:basedOn w:val="DefaultParagraphFont"/>
    <w:uiPriority w:val="99"/>
    <w:rsid w:val="00C261B8"/>
    <w:rPr>
      <w:color w:val="3366FF"/>
    </w:rPr>
  </w:style>
  <w:style w:type="character" w:customStyle="1" w:styleId="Artdef">
    <w:name w:val="Art_def"/>
    <w:basedOn w:val="DefaultParagraphFont"/>
    <w:uiPriority w:val="99"/>
    <w:rsid w:val="00C261B8"/>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43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5AE1A-6357-40C0-9F57-B813603ED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1204</Words>
  <Characters>6864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DRAFT CEPT Brief</vt:lpstr>
      <vt:lpstr>DRAFT CEPT Brief</vt:lpstr>
    </vt:vector>
  </TitlesOfParts>
  <Company>ECO</Company>
  <LinksUpToDate>false</LinksUpToDate>
  <CharactersWithSpaces>8052</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CEPT Brief</dc:title>
  <dc:creator>Stella Lyubchenko</dc:creator>
  <dc:description>This template is used as guidance to draft CEPT Brief</dc:description>
  <cp:lastModifiedBy>wesley.milton</cp:lastModifiedBy>
  <cp:revision>2</cp:revision>
  <cp:lastPrinted>2012-08-23T09:39:00Z</cp:lastPrinted>
  <dcterms:created xsi:type="dcterms:W3CDTF">2013-01-30T10:53:00Z</dcterms:created>
  <dcterms:modified xsi:type="dcterms:W3CDTF">2013-01-30T10:53:00Z</dcterms:modified>
</cp:coreProperties>
</file>